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1"/>
        <w:rPr>
          <w:rFonts w:eastAsia="仿宋_GB2312"/>
          <w:b/>
          <w:color w:val="auto"/>
          <w:sz w:val="32"/>
          <w:szCs w:val="30"/>
        </w:rPr>
      </w:pPr>
      <w:r>
        <w:rPr>
          <w:rFonts w:ascii="宋体" w:hAnsi="宋体"/>
          <w:b/>
          <w:color w:val="auto"/>
          <w:sz w:val="28"/>
          <w:szCs w:val="28"/>
        </w:rPr>
        <w:t>客户须知</w:t>
      </w:r>
    </w:p>
    <w:p>
      <w:pPr>
        <w:tabs>
          <w:tab w:val="left" w:pos="1815"/>
          <w:tab w:val="left" w:pos="4320"/>
        </w:tabs>
        <w:adjustRightInd w:val="0"/>
        <w:snapToGrid w:val="0"/>
        <w:spacing w:line="460" w:lineRule="exact"/>
        <w:ind w:firstLine="420" w:firstLineChars="175"/>
        <w:rPr>
          <w:rFonts w:ascii="宋体" w:hAnsi="宋体"/>
          <w:snapToGrid w:val="0"/>
          <w:color w:val="auto"/>
          <w:kern w:val="0"/>
          <w:sz w:val="24"/>
        </w:rPr>
      </w:pPr>
      <w:r>
        <w:rPr>
          <w:rFonts w:ascii="宋体" w:hAnsi="宋体"/>
          <w:snapToGrid w:val="0"/>
          <w:color w:val="auto"/>
          <w:kern w:val="0"/>
          <w:sz w:val="24"/>
        </w:rPr>
        <w:t>1</w:t>
      </w:r>
      <w:r>
        <w:rPr>
          <w:rFonts w:hint="eastAsia" w:ascii="宋体" w:hAnsi="宋体"/>
          <w:snapToGrid w:val="0"/>
          <w:color w:val="auto"/>
          <w:kern w:val="0"/>
          <w:sz w:val="24"/>
        </w:rPr>
        <w:t>.</w:t>
      </w:r>
      <w:r>
        <w:rPr>
          <w:rFonts w:ascii="宋体" w:hAnsi="宋体"/>
          <w:snapToGrid w:val="0"/>
          <w:color w:val="auto"/>
          <w:kern w:val="0"/>
          <w:sz w:val="24"/>
        </w:rPr>
        <w:t>您在</w:t>
      </w:r>
      <w:r>
        <w:rPr>
          <w:rFonts w:hint="eastAsia" w:ascii="宋体" w:hAnsi="宋体"/>
          <w:snapToGrid w:val="0"/>
          <w:color w:val="auto"/>
          <w:kern w:val="0"/>
          <w:sz w:val="24"/>
          <w:lang w:eastAsia="zh-CN"/>
        </w:rPr>
        <w:t>威海银行</w:t>
      </w:r>
      <w:r>
        <w:rPr>
          <w:rFonts w:ascii="宋体" w:hAnsi="宋体"/>
          <w:snapToGrid w:val="0"/>
          <w:color w:val="auto"/>
          <w:kern w:val="0"/>
          <w:sz w:val="24"/>
        </w:rPr>
        <w:t>办理开放式基金业务，须遵守相关法律法规，充分了解</w:t>
      </w:r>
      <w:r>
        <w:rPr>
          <w:rFonts w:hint="eastAsia" w:ascii="宋体" w:hAnsi="宋体"/>
          <w:snapToGrid w:val="0"/>
          <w:color w:val="auto"/>
          <w:kern w:val="0"/>
          <w:sz w:val="24"/>
          <w:lang w:eastAsia="zh-CN"/>
        </w:rPr>
        <w:t>威海银行</w:t>
      </w:r>
      <w:r>
        <w:rPr>
          <w:rFonts w:ascii="宋体" w:hAnsi="宋体"/>
          <w:snapToGrid w:val="0"/>
          <w:color w:val="auto"/>
          <w:kern w:val="0"/>
          <w:sz w:val="24"/>
        </w:rPr>
        <w:t>基金业务的相关交易规则，详阅拟交易基金的《基金合同》、《招募说明书》和其他公告信息，接受其中载明的所有法律条款，自愿承担投资风险。</w:t>
      </w:r>
      <w:bookmarkStart w:id="0" w:name="_GoBack"/>
      <w:bookmarkEnd w:id="0"/>
    </w:p>
    <w:p>
      <w:pPr>
        <w:tabs>
          <w:tab w:val="left" w:pos="1815"/>
          <w:tab w:val="left" w:pos="4320"/>
        </w:tabs>
        <w:adjustRightInd w:val="0"/>
        <w:snapToGrid w:val="0"/>
        <w:spacing w:line="460" w:lineRule="exact"/>
        <w:ind w:firstLine="420" w:firstLineChars="175"/>
        <w:rPr>
          <w:rFonts w:ascii="宋体" w:hAnsi="宋体"/>
          <w:snapToGrid w:val="0"/>
          <w:color w:val="auto"/>
          <w:kern w:val="0"/>
          <w:sz w:val="24"/>
        </w:rPr>
      </w:pPr>
      <w:r>
        <w:rPr>
          <w:rFonts w:ascii="宋体" w:hAnsi="宋体"/>
          <w:snapToGrid w:val="0"/>
          <w:color w:val="auto"/>
          <w:kern w:val="0"/>
          <w:sz w:val="24"/>
        </w:rPr>
        <w:t>2</w:t>
      </w:r>
      <w:r>
        <w:rPr>
          <w:rFonts w:hint="eastAsia" w:ascii="宋体" w:hAnsi="宋体"/>
          <w:snapToGrid w:val="0"/>
          <w:color w:val="auto"/>
          <w:kern w:val="0"/>
          <w:sz w:val="24"/>
        </w:rPr>
        <w:t>.</w:t>
      </w:r>
      <w:r>
        <w:rPr>
          <w:rFonts w:ascii="宋体" w:hAnsi="宋体"/>
          <w:snapToGrid w:val="0"/>
          <w:color w:val="auto"/>
          <w:kern w:val="0"/>
          <w:sz w:val="24"/>
        </w:rPr>
        <w:t>基金投资存在风险，您要对自己的风险承受能力和理财目标进行分析，投资与您风险承受能力相匹配的产品，建议您在开立基金账户或购买基金前参加我行的风险承受能力测试，详情可咨询相关业务人员。</w:t>
      </w:r>
    </w:p>
    <w:p>
      <w:pPr>
        <w:tabs>
          <w:tab w:val="left" w:pos="1815"/>
          <w:tab w:val="left" w:pos="4320"/>
        </w:tabs>
        <w:adjustRightInd w:val="0"/>
        <w:snapToGrid w:val="0"/>
        <w:spacing w:line="460" w:lineRule="exact"/>
        <w:ind w:firstLine="420" w:firstLineChars="175"/>
        <w:rPr>
          <w:rFonts w:ascii="宋体" w:hAnsi="宋体"/>
          <w:snapToGrid w:val="0"/>
          <w:color w:val="auto"/>
          <w:kern w:val="0"/>
          <w:sz w:val="24"/>
        </w:rPr>
      </w:pPr>
      <w:r>
        <w:rPr>
          <w:rFonts w:ascii="宋体" w:hAnsi="宋体"/>
          <w:snapToGrid w:val="0"/>
          <w:color w:val="auto"/>
          <w:kern w:val="0"/>
          <w:sz w:val="24"/>
        </w:rPr>
        <w:t>3</w:t>
      </w:r>
      <w:r>
        <w:rPr>
          <w:rFonts w:hint="eastAsia" w:ascii="宋体" w:hAnsi="宋体"/>
          <w:snapToGrid w:val="0"/>
          <w:color w:val="auto"/>
          <w:kern w:val="0"/>
          <w:sz w:val="24"/>
        </w:rPr>
        <w:t>.</w:t>
      </w:r>
      <w:r>
        <w:rPr>
          <w:rFonts w:ascii="宋体" w:hAnsi="宋体"/>
          <w:snapToGrid w:val="0"/>
          <w:color w:val="auto"/>
          <w:kern w:val="0"/>
          <w:sz w:val="24"/>
        </w:rPr>
        <w:t>基金宜长期持有，不宜短线频繁炒作。您要注意分散投资，降低风险。</w:t>
      </w:r>
    </w:p>
    <w:p>
      <w:pPr>
        <w:tabs>
          <w:tab w:val="left" w:pos="1815"/>
          <w:tab w:val="left" w:pos="4320"/>
        </w:tabs>
        <w:adjustRightInd w:val="0"/>
        <w:snapToGrid w:val="0"/>
        <w:spacing w:line="460" w:lineRule="exact"/>
        <w:ind w:firstLine="420" w:firstLineChars="175"/>
        <w:rPr>
          <w:rFonts w:ascii="宋体" w:hAnsi="宋体"/>
          <w:snapToGrid w:val="0"/>
          <w:color w:val="auto"/>
          <w:kern w:val="0"/>
          <w:sz w:val="24"/>
        </w:rPr>
      </w:pPr>
      <w:r>
        <w:rPr>
          <w:rFonts w:ascii="宋体" w:hAnsi="宋体"/>
          <w:snapToGrid w:val="0"/>
          <w:color w:val="auto"/>
          <w:kern w:val="0"/>
          <w:sz w:val="24"/>
        </w:rPr>
        <w:t>4</w:t>
      </w:r>
      <w:r>
        <w:rPr>
          <w:rFonts w:hint="eastAsia" w:ascii="宋体" w:hAnsi="宋体"/>
          <w:snapToGrid w:val="0"/>
          <w:color w:val="auto"/>
          <w:kern w:val="0"/>
          <w:sz w:val="24"/>
        </w:rPr>
        <w:t>.</w:t>
      </w:r>
      <w:r>
        <w:rPr>
          <w:rFonts w:ascii="宋体" w:hAnsi="宋体"/>
          <w:snapToGrid w:val="0"/>
          <w:color w:val="auto"/>
          <w:kern w:val="0"/>
          <w:sz w:val="24"/>
        </w:rPr>
        <w:t>您对基金的任何交易活动将受到基金合同的约束，您享有基金合同中规定的各项权利，承担基金合同中规定的各项义务。</w:t>
      </w:r>
    </w:p>
    <w:p>
      <w:pPr>
        <w:tabs>
          <w:tab w:val="left" w:pos="1815"/>
          <w:tab w:val="left" w:pos="4320"/>
        </w:tabs>
        <w:adjustRightInd w:val="0"/>
        <w:snapToGrid w:val="0"/>
        <w:spacing w:line="460" w:lineRule="exact"/>
        <w:ind w:firstLine="420" w:firstLineChars="175"/>
        <w:rPr>
          <w:rFonts w:ascii="宋体" w:hAnsi="宋体"/>
          <w:snapToGrid w:val="0"/>
          <w:color w:val="auto"/>
          <w:kern w:val="0"/>
          <w:sz w:val="24"/>
        </w:rPr>
      </w:pPr>
      <w:r>
        <w:rPr>
          <w:rFonts w:ascii="宋体" w:hAnsi="宋体"/>
          <w:snapToGrid w:val="0"/>
          <w:color w:val="auto"/>
          <w:kern w:val="0"/>
          <w:sz w:val="24"/>
        </w:rPr>
        <w:t>5</w:t>
      </w:r>
      <w:r>
        <w:rPr>
          <w:rFonts w:hint="eastAsia" w:ascii="宋体" w:hAnsi="宋体"/>
          <w:snapToGrid w:val="0"/>
          <w:color w:val="auto"/>
          <w:kern w:val="0"/>
          <w:sz w:val="24"/>
        </w:rPr>
        <w:t xml:space="preserve">. </w:t>
      </w:r>
      <w:r>
        <w:rPr>
          <w:rFonts w:hint="eastAsia" w:ascii="宋体" w:hAnsi="宋体"/>
          <w:snapToGrid w:val="0"/>
          <w:color w:val="auto"/>
          <w:kern w:val="0"/>
          <w:sz w:val="24"/>
          <w:lang w:eastAsia="zh-CN"/>
        </w:rPr>
        <w:t>威海银行</w:t>
      </w:r>
      <w:r>
        <w:rPr>
          <w:rFonts w:ascii="宋体" w:hAnsi="宋体"/>
          <w:snapToGrid w:val="0"/>
          <w:color w:val="auto"/>
          <w:kern w:val="0"/>
          <w:sz w:val="24"/>
        </w:rPr>
        <w:t>是基金</w:t>
      </w:r>
      <w:r>
        <w:rPr>
          <w:rFonts w:hint="eastAsia" w:ascii="宋体" w:hAnsi="宋体"/>
          <w:snapToGrid w:val="0"/>
          <w:color w:val="auto"/>
          <w:kern w:val="0"/>
          <w:sz w:val="24"/>
        </w:rPr>
        <w:t>销售</w:t>
      </w:r>
      <w:r>
        <w:rPr>
          <w:rFonts w:ascii="宋体" w:hAnsi="宋体"/>
          <w:snapToGrid w:val="0"/>
          <w:color w:val="auto"/>
          <w:kern w:val="0"/>
          <w:sz w:val="24"/>
        </w:rPr>
        <w:t>机构，负责将您的基金交易申请传送至相关基金管理公司或注册登记机构，申请资料最终确认结果以基金管理公司或注册登记机构的确认结果为准，请您于业务受理当天的2个工作日以后来我行查询确认结果并打印交割单。</w:t>
      </w:r>
    </w:p>
    <w:p>
      <w:pPr>
        <w:tabs>
          <w:tab w:val="left" w:pos="1815"/>
          <w:tab w:val="left" w:pos="4320"/>
        </w:tabs>
        <w:adjustRightInd w:val="0"/>
        <w:snapToGrid w:val="0"/>
        <w:spacing w:line="460" w:lineRule="exact"/>
        <w:ind w:firstLine="420" w:firstLineChars="175"/>
        <w:rPr>
          <w:rFonts w:ascii="宋体" w:hAnsi="宋体"/>
          <w:snapToGrid w:val="0"/>
          <w:color w:val="auto"/>
          <w:kern w:val="0"/>
          <w:sz w:val="24"/>
        </w:rPr>
      </w:pPr>
      <w:r>
        <w:rPr>
          <w:rFonts w:ascii="宋体" w:hAnsi="宋体"/>
          <w:snapToGrid w:val="0"/>
          <w:color w:val="auto"/>
          <w:kern w:val="0"/>
          <w:sz w:val="24"/>
        </w:rPr>
        <w:t>6</w:t>
      </w:r>
      <w:r>
        <w:rPr>
          <w:rFonts w:hint="eastAsia" w:ascii="宋体" w:hAnsi="宋体"/>
          <w:snapToGrid w:val="0"/>
          <w:color w:val="auto"/>
          <w:kern w:val="0"/>
          <w:sz w:val="24"/>
        </w:rPr>
        <w:t>.</w:t>
      </w:r>
      <w:r>
        <w:rPr>
          <w:rFonts w:ascii="宋体" w:hAnsi="宋体"/>
          <w:snapToGrid w:val="0"/>
          <w:color w:val="auto"/>
          <w:kern w:val="0"/>
          <w:sz w:val="24"/>
        </w:rPr>
        <w:t>凡因不可抗力或银行系统不可预测、不可控制之因素（如网路、通讯等故障）造成客户无法正常进行基金交易时，</w:t>
      </w:r>
      <w:r>
        <w:rPr>
          <w:rFonts w:hint="eastAsia" w:ascii="宋体" w:hAnsi="宋体"/>
          <w:snapToGrid w:val="0"/>
          <w:color w:val="auto"/>
          <w:kern w:val="0"/>
          <w:sz w:val="24"/>
          <w:lang w:eastAsia="zh-CN"/>
        </w:rPr>
        <w:t>威海银行</w:t>
      </w:r>
      <w:r>
        <w:rPr>
          <w:rFonts w:ascii="宋体" w:hAnsi="宋体"/>
          <w:snapToGrid w:val="0"/>
          <w:color w:val="auto"/>
          <w:kern w:val="0"/>
          <w:sz w:val="24"/>
        </w:rPr>
        <w:t>承诺尽最大努力排除障碍，尽快恢复交易。</w:t>
      </w:r>
    </w:p>
    <w:p>
      <w:pPr>
        <w:tabs>
          <w:tab w:val="left" w:pos="1815"/>
          <w:tab w:val="left" w:pos="4320"/>
        </w:tabs>
        <w:adjustRightInd w:val="0"/>
        <w:snapToGrid w:val="0"/>
        <w:spacing w:line="460" w:lineRule="exact"/>
        <w:ind w:firstLine="420" w:firstLineChars="175"/>
        <w:rPr>
          <w:rFonts w:ascii="宋体" w:hAnsi="宋体"/>
          <w:snapToGrid w:val="0"/>
          <w:color w:val="auto"/>
          <w:kern w:val="0"/>
          <w:sz w:val="24"/>
        </w:rPr>
      </w:pPr>
      <w:r>
        <w:rPr>
          <w:rFonts w:ascii="宋体" w:hAnsi="宋体"/>
          <w:snapToGrid w:val="0"/>
          <w:color w:val="auto"/>
          <w:kern w:val="0"/>
          <w:sz w:val="24"/>
        </w:rPr>
        <w:t>7</w:t>
      </w:r>
      <w:r>
        <w:rPr>
          <w:rFonts w:hint="eastAsia" w:ascii="宋体" w:hAnsi="宋体"/>
          <w:snapToGrid w:val="0"/>
          <w:color w:val="auto"/>
          <w:kern w:val="0"/>
          <w:sz w:val="24"/>
        </w:rPr>
        <w:t xml:space="preserve">. </w:t>
      </w:r>
      <w:r>
        <w:rPr>
          <w:rFonts w:hint="eastAsia" w:ascii="宋体" w:hAnsi="宋体"/>
          <w:snapToGrid w:val="0"/>
          <w:color w:val="auto"/>
          <w:kern w:val="0"/>
          <w:sz w:val="24"/>
          <w:lang w:eastAsia="zh-CN"/>
        </w:rPr>
        <w:t>威海银行</w:t>
      </w:r>
      <w:r>
        <w:rPr>
          <w:rFonts w:ascii="宋体" w:hAnsi="宋体"/>
          <w:snapToGrid w:val="0"/>
          <w:color w:val="auto"/>
          <w:kern w:val="0"/>
          <w:sz w:val="24"/>
        </w:rPr>
        <w:t>销售任何基金产品，不表明</w:t>
      </w:r>
      <w:r>
        <w:rPr>
          <w:rFonts w:hint="eastAsia" w:ascii="宋体" w:hAnsi="宋体"/>
          <w:snapToGrid w:val="0"/>
          <w:color w:val="auto"/>
          <w:kern w:val="0"/>
          <w:sz w:val="24"/>
          <w:lang w:eastAsia="zh-CN"/>
        </w:rPr>
        <w:t>威海银行</w:t>
      </w:r>
      <w:r>
        <w:rPr>
          <w:rFonts w:ascii="宋体" w:hAnsi="宋体"/>
          <w:snapToGrid w:val="0"/>
          <w:color w:val="auto"/>
          <w:kern w:val="0"/>
          <w:sz w:val="24"/>
        </w:rPr>
        <w:t>对该基金产品的业绩和您的收益做出任何承诺。</w:t>
      </w:r>
    </w:p>
    <w:p>
      <w:pPr>
        <w:tabs>
          <w:tab w:val="left" w:pos="1815"/>
          <w:tab w:val="left" w:pos="4320"/>
        </w:tabs>
        <w:adjustRightInd w:val="0"/>
        <w:snapToGrid w:val="0"/>
        <w:spacing w:line="460" w:lineRule="exact"/>
        <w:ind w:firstLine="420" w:firstLineChars="175"/>
        <w:rPr>
          <w:rFonts w:ascii="宋体" w:hAnsi="宋体"/>
          <w:snapToGrid w:val="0"/>
          <w:color w:val="auto"/>
          <w:kern w:val="0"/>
          <w:sz w:val="24"/>
        </w:rPr>
      </w:pPr>
      <w:r>
        <w:rPr>
          <w:rFonts w:ascii="宋体" w:hAnsi="宋体"/>
          <w:snapToGrid w:val="0"/>
          <w:color w:val="auto"/>
          <w:kern w:val="0"/>
          <w:sz w:val="24"/>
        </w:rPr>
        <w:t>8</w:t>
      </w:r>
      <w:r>
        <w:rPr>
          <w:rFonts w:hint="eastAsia" w:ascii="宋体" w:hAnsi="宋体"/>
          <w:snapToGrid w:val="0"/>
          <w:color w:val="auto"/>
          <w:kern w:val="0"/>
          <w:sz w:val="24"/>
        </w:rPr>
        <w:t>.</w:t>
      </w:r>
      <w:r>
        <w:rPr>
          <w:rFonts w:ascii="宋体" w:hAnsi="宋体"/>
          <w:snapToGrid w:val="0"/>
          <w:color w:val="auto"/>
          <w:kern w:val="0"/>
          <w:sz w:val="24"/>
        </w:rPr>
        <w:t>您在办理开放式基金业务时，应按规定支付相关费用，在开放式基金认购、申购、赎回等交易过程中，资金在途期间银行不计付任何利息。</w:t>
      </w:r>
    </w:p>
    <w:p>
      <w:pPr>
        <w:tabs>
          <w:tab w:val="left" w:pos="1815"/>
          <w:tab w:val="left" w:pos="4320"/>
        </w:tabs>
        <w:adjustRightInd w:val="0"/>
        <w:snapToGrid w:val="0"/>
        <w:spacing w:line="460" w:lineRule="exact"/>
        <w:ind w:firstLine="420" w:firstLineChars="175"/>
        <w:rPr>
          <w:rFonts w:ascii="宋体" w:hAnsi="宋体"/>
          <w:snapToGrid w:val="0"/>
          <w:color w:val="auto"/>
          <w:kern w:val="0"/>
          <w:sz w:val="24"/>
        </w:rPr>
      </w:pPr>
      <w:r>
        <w:rPr>
          <w:rFonts w:ascii="宋体" w:hAnsi="宋体"/>
          <w:snapToGrid w:val="0"/>
          <w:color w:val="auto"/>
          <w:kern w:val="0"/>
          <w:sz w:val="24"/>
        </w:rPr>
        <w:t>9</w:t>
      </w:r>
      <w:r>
        <w:rPr>
          <w:rFonts w:hint="eastAsia" w:ascii="宋体" w:hAnsi="宋体"/>
          <w:snapToGrid w:val="0"/>
          <w:color w:val="auto"/>
          <w:kern w:val="0"/>
          <w:sz w:val="24"/>
        </w:rPr>
        <w:t xml:space="preserve">. </w:t>
      </w:r>
      <w:r>
        <w:rPr>
          <w:rFonts w:hint="eastAsia" w:ascii="宋体" w:hAnsi="宋体"/>
          <w:snapToGrid w:val="0"/>
          <w:color w:val="auto"/>
          <w:kern w:val="0"/>
          <w:sz w:val="24"/>
          <w:lang w:eastAsia="zh-CN"/>
        </w:rPr>
        <w:t>威海银行</w:t>
      </w:r>
      <w:r>
        <w:rPr>
          <w:rFonts w:ascii="宋体" w:hAnsi="宋体"/>
          <w:snapToGrid w:val="0"/>
          <w:color w:val="auto"/>
          <w:kern w:val="0"/>
          <w:sz w:val="24"/>
        </w:rPr>
        <w:t>可能因基金销售系统升级等特殊原因而修改开放式基金交易规则等有关条款，您在</w:t>
      </w:r>
      <w:r>
        <w:rPr>
          <w:rFonts w:hint="eastAsia" w:ascii="宋体" w:hAnsi="宋体"/>
          <w:snapToGrid w:val="0"/>
          <w:color w:val="auto"/>
          <w:kern w:val="0"/>
          <w:sz w:val="24"/>
          <w:lang w:eastAsia="zh-CN"/>
        </w:rPr>
        <w:t>威海银行</w:t>
      </w:r>
      <w:r>
        <w:rPr>
          <w:rFonts w:ascii="宋体" w:hAnsi="宋体"/>
          <w:snapToGrid w:val="0"/>
          <w:color w:val="auto"/>
          <w:kern w:val="0"/>
          <w:sz w:val="24"/>
        </w:rPr>
        <w:t>办理开放式基金业务以最新的业务规则为准。</w:t>
      </w:r>
    </w:p>
    <w:p>
      <w:pPr>
        <w:tabs>
          <w:tab w:val="left" w:pos="1815"/>
          <w:tab w:val="left" w:pos="4320"/>
        </w:tabs>
        <w:adjustRightInd w:val="0"/>
        <w:snapToGrid w:val="0"/>
        <w:spacing w:line="460" w:lineRule="exact"/>
        <w:ind w:firstLine="420" w:firstLineChars="175"/>
        <w:rPr>
          <w:rFonts w:ascii="宋体" w:hAnsi="宋体"/>
          <w:snapToGrid w:val="0"/>
          <w:color w:val="auto"/>
          <w:kern w:val="0"/>
          <w:sz w:val="24"/>
        </w:rPr>
      </w:pPr>
      <w:r>
        <w:rPr>
          <w:rFonts w:ascii="宋体" w:hAnsi="宋体"/>
          <w:snapToGrid w:val="0"/>
          <w:color w:val="auto"/>
          <w:kern w:val="0"/>
          <w:sz w:val="24"/>
        </w:rPr>
        <w:t>10</w:t>
      </w:r>
      <w:r>
        <w:rPr>
          <w:rFonts w:hint="eastAsia" w:ascii="宋体" w:hAnsi="宋体"/>
          <w:snapToGrid w:val="0"/>
          <w:color w:val="auto"/>
          <w:kern w:val="0"/>
          <w:sz w:val="24"/>
        </w:rPr>
        <w:t>.</w:t>
      </w:r>
      <w:r>
        <w:rPr>
          <w:rFonts w:ascii="宋体" w:hAnsi="宋体"/>
          <w:snapToGrid w:val="0"/>
          <w:color w:val="auto"/>
          <w:kern w:val="0"/>
          <w:sz w:val="24"/>
        </w:rPr>
        <w:t>本申请表不作为银行收款凭证和开放式基金持有凭证。</w:t>
      </w:r>
    </w:p>
    <w:p>
      <w:pPr>
        <w:tabs>
          <w:tab w:val="left" w:pos="1815"/>
          <w:tab w:val="left" w:pos="4320"/>
        </w:tabs>
        <w:adjustRightInd w:val="0"/>
        <w:snapToGrid w:val="0"/>
        <w:spacing w:line="460" w:lineRule="exact"/>
        <w:ind w:firstLine="420" w:firstLineChars="175"/>
        <w:rPr>
          <w:rFonts w:ascii="宋体" w:hAnsi="宋体"/>
          <w:snapToGrid w:val="0"/>
          <w:color w:val="auto"/>
          <w:kern w:val="0"/>
          <w:sz w:val="24"/>
        </w:rPr>
      </w:pPr>
      <w:r>
        <w:rPr>
          <w:rFonts w:ascii="宋体" w:hAnsi="宋体"/>
          <w:snapToGrid w:val="0"/>
          <w:color w:val="auto"/>
          <w:kern w:val="0"/>
          <w:sz w:val="24"/>
        </w:rPr>
        <w:t>11</w:t>
      </w:r>
      <w:r>
        <w:rPr>
          <w:rFonts w:hint="eastAsia" w:ascii="宋体" w:hAnsi="宋体"/>
          <w:snapToGrid w:val="0"/>
          <w:color w:val="auto"/>
          <w:kern w:val="0"/>
          <w:sz w:val="24"/>
        </w:rPr>
        <w:t>.</w:t>
      </w:r>
      <w:r>
        <w:rPr>
          <w:rFonts w:ascii="宋体" w:hAnsi="宋体"/>
          <w:snapToGrid w:val="0"/>
          <w:color w:val="auto"/>
          <w:kern w:val="0"/>
          <w:sz w:val="24"/>
        </w:rPr>
        <w:t>如有其他问题请向</w:t>
      </w:r>
      <w:r>
        <w:rPr>
          <w:rFonts w:hint="eastAsia" w:ascii="宋体" w:hAnsi="宋体"/>
          <w:snapToGrid w:val="0"/>
          <w:color w:val="auto"/>
          <w:kern w:val="0"/>
          <w:sz w:val="24"/>
          <w:lang w:eastAsia="zh-CN"/>
        </w:rPr>
        <w:t>威海银行</w:t>
      </w:r>
      <w:r>
        <w:rPr>
          <w:rFonts w:ascii="宋体" w:hAnsi="宋体"/>
          <w:snapToGrid w:val="0"/>
          <w:color w:val="auto"/>
          <w:kern w:val="0"/>
          <w:sz w:val="24"/>
        </w:rPr>
        <w:t>相关业务人员或致电客户服务热线96</w:t>
      </w:r>
      <w:r>
        <w:rPr>
          <w:rFonts w:hint="eastAsia" w:ascii="宋体" w:hAnsi="宋体"/>
          <w:snapToGrid w:val="0"/>
          <w:color w:val="auto"/>
          <w:kern w:val="0"/>
          <w:sz w:val="24"/>
        </w:rPr>
        <w:t>636</w:t>
      </w:r>
      <w:r>
        <w:rPr>
          <w:rFonts w:ascii="宋体" w:hAnsi="宋体"/>
          <w:snapToGrid w:val="0"/>
          <w:color w:val="auto"/>
          <w:kern w:val="0"/>
          <w:sz w:val="24"/>
        </w:rPr>
        <w:t>咨询，也可登陆</w:t>
      </w:r>
      <w:r>
        <w:rPr>
          <w:rFonts w:hint="eastAsia" w:ascii="宋体" w:hAnsi="宋体"/>
          <w:snapToGrid w:val="0"/>
          <w:color w:val="auto"/>
          <w:kern w:val="0"/>
          <w:sz w:val="24"/>
          <w:lang w:eastAsia="zh-CN"/>
        </w:rPr>
        <w:t>威海银行</w:t>
      </w:r>
      <w:r>
        <w:rPr>
          <w:rFonts w:ascii="宋体" w:hAnsi="宋体"/>
          <w:snapToGrid w:val="0"/>
          <w:color w:val="auto"/>
          <w:kern w:val="0"/>
          <w:sz w:val="24"/>
        </w:rPr>
        <w:t>网站（www.</w:t>
      </w:r>
      <w:r>
        <w:rPr>
          <w:rFonts w:hint="eastAsia" w:ascii="宋体" w:hAnsi="宋体"/>
          <w:snapToGrid w:val="0"/>
          <w:color w:val="auto"/>
          <w:kern w:val="0"/>
          <w:sz w:val="24"/>
        </w:rPr>
        <w:t>wh</w:t>
      </w:r>
      <w:r>
        <w:rPr>
          <w:rFonts w:ascii="宋体" w:hAnsi="宋体"/>
          <w:snapToGrid w:val="0"/>
          <w:color w:val="auto"/>
          <w:kern w:val="0"/>
          <w:sz w:val="24"/>
        </w:rPr>
        <w:t>ccb.com）进行查询。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F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puxg</cp:lastModifiedBy>
  <dcterms:modified xsi:type="dcterms:W3CDTF">2026-05-12T10:19:59Z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684EF9045F174658847B03CA6949F566</vt:lpwstr>
  </property>
</Properties>
</file>