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苏银理财恒源封闭债权224期优选2年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恒源封闭债权224期优选2年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苏银理财恒源封闭债权224期优选2年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Z7003125000234，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A份额：苏银理财恒源封闭债权224期优选2年A/J07832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B份额：苏银理财恒源封闭债权224期优选2年B/J07833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C份额：苏银理财恒源封闭债权224期优选2年C/J07834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D份额：苏银理财恒源封闭债权224期优选2年D/J07835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E份额：苏银理财恒源封闭债权224期优选2年E/J07836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F份额：苏银理财恒源封闭债权224期优选2年F/J07837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G份额：苏银理财恒源封闭债权224期优选2年G/J07838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H份额：苏银理财恒源封闭债权224期优选2年H/J07839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I份额：苏银理财恒源封闭债权224期优选2年I/J07840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J份额：苏银理财恒源封闭债权224期优选2年J/J07841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K份额：苏银理财恒源封闭债权224期优选2年K/J07842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Z份额：苏银理财恒源封闭债权224期优选2年Z/J07843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JS份额：苏银理财恒源封闭债权224期优选2年JS鑫福款/J07844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·优选份额：苏银理财恒源封闭债权224期优选2年（芙蓉锦程 ·优选）/J07845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2025年9月18日，如管理人调整募集期，则产品成立日/份额登记日将相应调整，以管理人公告为准。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755</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A份额：2.75%-3.15%，B份额：2.70%-3.10%，C份额：2.80%-3.20%，D份额：2.70%-3.10%，E份额：2.85%-3.25%，</w:t>
            </w:r>
            <w:bookmarkStart w:id="0" w:name="_GoBack"/>
            <w:r>
              <w:rPr>
                <w:rFonts w:hint="eastAsia" w:ascii="楷体" w:hAnsi="楷体" w:eastAsia="楷体" w:cs="宋体"/>
                <w:color w:val="auto"/>
                <w:spacing w:val="-2"/>
                <w:kern w:val="2"/>
                <w:sz w:val="18"/>
                <w:szCs w:val="18"/>
                <w:lang w:val="en-US" w:eastAsia="zh-CN" w:bidi="ar-SA"/>
              </w:rPr>
              <w:t>F份额：2.75%-3.15%</w:t>
            </w:r>
            <w:bookmarkEnd w:id="0"/>
            <w:r>
              <w:rPr>
                <w:rFonts w:hint="eastAsia" w:ascii="楷体" w:hAnsi="楷体" w:eastAsia="楷体" w:cs="宋体"/>
                <w:color w:val="auto"/>
                <w:spacing w:val="-2"/>
                <w:kern w:val="2"/>
                <w:sz w:val="18"/>
                <w:szCs w:val="18"/>
                <w:lang w:val="en-US" w:eastAsia="zh-CN" w:bidi="ar-SA"/>
              </w:rPr>
              <w:t>，G份额：2.60%-3.00%，H份额：2.65%-3.05%，I份额：2.90%-3.30%，J份额：2.70%-3.10%，K份额：2.65%-3.05%，Z份额：2.85%-3.25%，JS份额：2.70%-3.10%，芙蓉锦程 ·优选份额：2.80%-3.20%。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I份额：0.01%</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35D2B"/>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0</TotalTime>
  <ScaleCrop>false</ScaleCrop>
  <LinksUpToDate>false</LinksUpToDate>
  <CharactersWithSpaces>14580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2025-09-08T03:05:25Z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