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1"/>
          <w:szCs w:val="21"/>
        </w:rPr>
      </w:pPr>
      <w:bookmarkStart w:id="0" w:name="_GoBack"/>
      <w:bookmarkEnd w:id="0"/>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4"/>
          <w:szCs w:val="24"/>
        </w:rPr>
      </w:pPr>
      <w:r>
        <w:rPr>
          <w:rFonts w:hint="eastAsia" w:ascii="楷体" w:hAnsi="楷体" w:eastAsia="楷体"/>
          <w:b/>
          <w:sz w:val="24"/>
          <w:szCs w:val="24"/>
        </w:rPr>
        <w:t>理财非存款、产品有风险、投资须谨慎</w:t>
      </w:r>
    </w:p>
    <w:p>
      <w:pPr>
        <w:pStyle w:val="12"/>
        <w:spacing w:before="0" w:beforeAutospacing="0" w:after="0" w:afterAutospacing="0"/>
        <w:jc w:val="center"/>
        <w:rPr>
          <w:rFonts w:hint="eastAsia" w:ascii="楷体" w:hAnsi="楷体" w:eastAsia="楷体" w:cs="浠垮畫"/>
          <w:sz w:val="21"/>
          <w:szCs w:val="21"/>
          <w:lang w:val="en-US" w:eastAsia="zh-CN"/>
        </w:rPr>
      </w:pPr>
      <w:r>
        <w:rPr>
          <w:rFonts w:hint="eastAsia" w:ascii="楷体" w:hAnsi="楷体" w:eastAsia="楷体" w:cs="浠垮畫"/>
          <w:sz w:val="21"/>
          <w:szCs w:val="21"/>
        </w:rPr>
        <w:t>（适用于代销渠道）</w:t>
      </w:r>
    </w:p>
    <w:p>
      <w:pPr>
        <w:autoSpaceDE w:val="0"/>
        <w:autoSpaceDN w:val="0"/>
        <w:adjustRightInd w:val="0"/>
        <w:jc w:val="left"/>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尊敬的投资者：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感谢您购买苏银理财有限责任公司(以下简称“苏银理财”)发行管理的理财产品，</w:t>
      </w:r>
      <w:r>
        <w:rPr>
          <w:rFonts w:ascii="楷体" w:hAnsi="楷体" w:eastAsia="楷体" w:cs="浠垮畫"/>
          <w:b/>
          <w:kern w:val="0"/>
          <w:sz w:val="21"/>
          <w:szCs w:val="21"/>
          <w:u w:val="single"/>
        </w:rPr>
        <w:t>理财非存款、产品有风险、投资须谨慎</w:t>
      </w:r>
      <w:r>
        <w:rPr>
          <w:rFonts w:hint="eastAsia" w:ascii="楷体" w:hAnsi="楷体" w:eastAsia="楷体" w:cs="浠垮畫"/>
          <w:b/>
          <w:kern w:val="0"/>
          <w:sz w:val="21"/>
          <w:szCs w:val="21"/>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22" w:firstLineChars="200"/>
        <w:rPr>
          <w:rFonts w:hint="eastAsia" w:ascii="楷体" w:hAnsi="楷体" w:eastAsia="楷体" w:cs="浠垮畫"/>
          <w:kern w:val="0"/>
          <w:sz w:val="21"/>
          <w:szCs w:val="21"/>
        </w:rPr>
      </w:pPr>
      <w:r>
        <w:rPr>
          <w:rFonts w:hint="eastAsia" w:ascii="楷体" w:hAnsi="楷体" w:eastAsia="楷体" w:cs="浠垮畫"/>
          <w:b/>
          <w:kern w:val="0"/>
          <w:sz w:val="21"/>
          <w:szCs w:val="21"/>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1"/>
          <w:szCs w:val="21"/>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422" w:firstLineChars="200"/>
        <w:rPr>
          <w:rFonts w:hint="eastAsia" w:ascii="楷体" w:hAnsi="楷体" w:eastAsia="楷体" w:cs="浠垮畫"/>
          <w:b/>
          <w:kern w:val="0"/>
          <w:sz w:val="21"/>
          <w:szCs w:val="21"/>
        </w:rPr>
      </w:pPr>
      <w:r>
        <w:rPr>
          <w:rFonts w:ascii="楷体" w:hAnsi="楷体" w:eastAsia="楷体" w:cs="浠垮畫"/>
          <w:b/>
          <w:kern w:val="0"/>
          <w:sz w:val="21"/>
          <w:szCs w:val="21"/>
        </w:rPr>
        <w:t>一、代销机构代理销售苏银理财产品的流程</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个人投资者</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5" o:spt="75" type="#_x0000_t75" style="height:172.55pt;width:227.9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机构投资者</w:t>
      </w:r>
    </w:p>
    <w:p>
      <w:pPr>
        <w:autoSpaceDE w:val="0"/>
        <w:autoSpaceDN w:val="0"/>
        <w:adjustRightInd w:val="0"/>
        <w:ind w:firstLine="420"/>
        <w:jc w:val="center"/>
        <w:rPr>
          <w:rFonts w:hint="eastAsia" w:ascii="楷体" w:hAnsi="楷体" w:eastAsia="楷体" w:cs="浠垮畫"/>
          <w:kern w:val="0"/>
          <w:sz w:val="21"/>
          <w:szCs w:val="21"/>
        </w:rPr>
      </w:pPr>
      <w:r>
        <w:rPr>
          <w:sz w:val="21"/>
          <w:szCs w:val="21"/>
        </w:rPr>
        <w:object>
          <v:shape id="_x0000_i1026" o:spt="75" type="#_x0000_t75" style="height:182.75pt;width:207.1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318" w:firstLineChars="151"/>
        <w:rPr>
          <w:rFonts w:ascii="楷体" w:hAnsi="楷体" w:eastAsia="楷体" w:cs="浠垮畫"/>
          <w:b/>
          <w:kern w:val="0"/>
          <w:sz w:val="21"/>
          <w:szCs w:val="21"/>
        </w:rPr>
      </w:pPr>
      <w:r>
        <w:rPr>
          <w:rFonts w:hint="eastAsia" w:ascii="楷体" w:hAnsi="楷体" w:eastAsia="楷体" w:cs="浠垮畫"/>
          <w:b/>
          <w:kern w:val="0"/>
          <w:sz w:val="21"/>
          <w:szCs w:val="21"/>
        </w:rPr>
        <w:t>二、苏银理财产品内部风险评级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苏银理财发行的理财产品内部风险评级共分为五级：</w:t>
      </w:r>
      <w:r>
        <w:rPr>
          <w:rFonts w:hint="eastAsia" w:ascii="楷体" w:hAnsi="楷体" w:eastAsia="楷体" w:cs="浠垮畫"/>
          <w:kern w:val="0"/>
          <w:sz w:val="21"/>
          <w:szCs w:val="21"/>
        </w:rPr>
        <w:t>★一级（PR1）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r>
        <w:rPr>
          <w:rFonts w:ascii="楷体" w:hAnsi="楷体" w:eastAsia="楷体" w:cs="浠垮畫"/>
          <w:kern w:val="0"/>
          <w:sz w:val="21"/>
          <w:szCs w:val="21"/>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风险承受</w:t>
            </w:r>
          </w:p>
        </w:tc>
      </w:tr>
    </w:tbl>
    <w:p>
      <w:pPr>
        <w:autoSpaceDE w:val="0"/>
        <w:autoSpaceDN w:val="0"/>
        <w:adjustRightInd w:val="0"/>
        <w:ind w:firstLine="371" w:firstLineChars="177"/>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中低风险投资者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投资者特征：在任何投资中，承担较小的风险取得相对稳定的收益是客户的主要目标，通常愿意承受略低于市场平均水平的风险。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三</w:t>
      </w:r>
      <w:r>
        <w:rPr>
          <w:rFonts w:ascii="楷体" w:hAnsi="楷体" w:eastAsia="楷体" w:cs="浠垮畫"/>
          <w:kern w:val="0"/>
          <w:sz w:val="21"/>
          <w:szCs w:val="21"/>
        </w:rPr>
        <w:t>）</w:t>
      </w:r>
      <w:r>
        <w:rPr>
          <w:rFonts w:hint="eastAsia" w:ascii="楷体" w:hAnsi="楷体" w:eastAsia="楷体" w:cs="浠垮畫"/>
          <w:kern w:val="0"/>
          <w:sz w:val="21"/>
          <w:szCs w:val="21"/>
        </w:rPr>
        <w:t>中风险投资者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四</w:t>
      </w:r>
      <w:r>
        <w:rPr>
          <w:rFonts w:ascii="楷体" w:hAnsi="楷体" w:eastAsia="楷体" w:cs="浠垮畫"/>
          <w:kern w:val="0"/>
          <w:sz w:val="21"/>
          <w:szCs w:val="21"/>
        </w:rPr>
        <w:t>）</w:t>
      </w:r>
      <w:r>
        <w:rPr>
          <w:rFonts w:hint="eastAsia" w:ascii="楷体" w:hAnsi="楷体" w:eastAsia="楷体" w:cs="浠垮畫"/>
          <w:kern w:val="0"/>
          <w:sz w:val="21"/>
          <w:szCs w:val="21"/>
        </w:rPr>
        <w:t>中高风险投资者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五</w:t>
      </w:r>
      <w:r>
        <w:rPr>
          <w:rFonts w:ascii="楷体" w:hAnsi="楷体" w:eastAsia="楷体" w:cs="浠垮畫"/>
          <w:kern w:val="0"/>
          <w:sz w:val="21"/>
          <w:szCs w:val="21"/>
        </w:rPr>
        <w:t>）</w:t>
      </w:r>
      <w:r>
        <w:rPr>
          <w:rFonts w:hint="eastAsia" w:ascii="楷体" w:hAnsi="楷体" w:eastAsia="楷体" w:cs="浠垮畫"/>
          <w:kern w:val="0"/>
          <w:sz w:val="21"/>
          <w:szCs w:val="21"/>
        </w:rPr>
        <w:t>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三、投资者风险承受能力评估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（一）代销机构负责</w:t>
      </w:r>
      <w:r>
        <w:rPr>
          <w:rFonts w:hint="eastAsia" w:ascii="楷体" w:hAnsi="楷体" w:eastAsia="楷体" w:cs="浠垮畫"/>
          <w:kern w:val="0"/>
          <w:sz w:val="21"/>
          <w:szCs w:val="21"/>
        </w:rPr>
        <w:t>代理</w:t>
      </w:r>
      <w:r>
        <w:rPr>
          <w:rFonts w:ascii="楷体" w:hAnsi="楷体" w:eastAsia="楷体" w:cs="浠垮畫"/>
          <w:kern w:val="0"/>
          <w:sz w:val="21"/>
          <w:szCs w:val="21"/>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20" w:firstLineChars="200"/>
        <w:rPr>
          <w:rFonts w:hint="eastAsia"/>
          <w:sz w:val="21"/>
          <w:szCs w:val="21"/>
        </w:rPr>
      </w:pPr>
      <w:r>
        <w:rPr>
          <w:rFonts w:ascii="楷体" w:hAnsi="楷体" w:eastAsia="楷体" w:cs="浠垮畫"/>
          <w:kern w:val="0"/>
          <w:sz w:val="21"/>
          <w:szCs w:val="21"/>
        </w:rPr>
        <w:t>（三）个人投资者风险承受能力评估流程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7" o:spt="75" type="#_x0000_t75" style="height:110.5pt;width:230.2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（五）代销机构在代销过程中，可参考苏银理财的产品风险评级结果，自行判断确定本产品的风险评级，</w:t>
      </w:r>
      <w:r>
        <w:rPr>
          <w:rFonts w:hint="eastAsia" w:ascii="楷体" w:hAnsi="楷体" w:eastAsia="楷体" w:cs="浠垮畫"/>
          <w:kern w:val="0"/>
          <w:sz w:val="21"/>
          <w:szCs w:val="21"/>
        </w:rPr>
        <w:t>但代销机构自行确定的产品风险评级不得低于苏银理财的产品风险评级。</w:t>
      </w:r>
      <w:r>
        <w:rPr>
          <w:rFonts w:hint="eastAsia" w:ascii="楷体" w:hAnsi="楷体" w:eastAsia="楷体" w:cs="宋体"/>
          <w:b/>
          <w:spacing w:val="-2"/>
          <w:sz w:val="21"/>
          <w:szCs w:val="21"/>
          <w:u w:val="single"/>
        </w:rPr>
        <w:t>该产品</w:t>
      </w:r>
      <w:r>
        <w:rPr>
          <w:rFonts w:ascii="楷体" w:hAnsi="楷体" w:eastAsia="楷体" w:cs="宋体"/>
          <w:b/>
          <w:spacing w:val="-2"/>
          <w:sz w:val="21"/>
          <w:szCs w:val="21"/>
          <w:u w:val="single"/>
        </w:rPr>
        <w:t>通过代理销售机构渠道销售的，理财产品评级应当</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r>
        <w:rPr>
          <w:rFonts w:hint="eastAsia" w:ascii="楷体" w:hAnsi="楷体" w:eastAsia="楷体" w:cs="浠垮畫"/>
          <w:kern w:val="0"/>
          <w:sz w:val="21"/>
          <w:szCs w:val="21"/>
        </w:rPr>
        <w:t>代销商在销售过程中</w:t>
      </w:r>
      <w:r>
        <w:rPr>
          <w:rFonts w:ascii="楷体" w:hAnsi="楷体" w:eastAsia="楷体" w:cs="浠垮畫"/>
          <w:kern w:val="0"/>
          <w:sz w:val="21"/>
          <w:szCs w:val="21"/>
        </w:rPr>
        <w:t>应确保个人投资者的风险承受能力等级不低于本产品风险评级。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（六）机构投资者购买理财产品前无需进行风险评估能力测试。</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四、理财产品信息披露</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（一）信息披露内容</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1.产品类型、募集信息、产品净值、产品规模、托管安排、投资账户信息；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2.产品投向、投资比例、持仓情况、杠杆水平以及主要投资风险；</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3.产品收益分配、各项费用情况；</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4.产品涉及关联交易；</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5.其他影响本产品投资运作的重大事项、临时性信息披露等。</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（二）信息披露频率（适用于公募理财产品）</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1.发行公告：管理人在产品成立后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个工作日内，披露产品成立公告，内容包括理财产品成立日期和募集规模等信息。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2.定期公告：管理人在每个季度结束之日起</w:t>
      </w:r>
      <w:r>
        <w:rPr>
          <w:rFonts w:ascii="楷体" w:hAnsi="楷体" w:eastAsia="楷体" w:cs="浠垮畫"/>
          <w:kern w:val="0"/>
          <w:sz w:val="21"/>
          <w:szCs w:val="21"/>
        </w:rPr>
        <w:t>15</w:t>
      </w:r>
      <w:r>
        <w:rPr>
          <w:rFonts w:hint="eastAsia" w:ascii="楷体" w:hAnsi="楷体" w:eastAsia="楷体" w:cs="浠垮畫"/>
          <w:kern w:val="0"/>
          <w:sz w:val="21"/>
          <w:szCs w:val="21"/>
        </w:rPr>
        <w:t>个工作日内、上半年结束之日起</w:t>
      </w:r>
      <w:r>
        <w:rPr>
          <w:rFonts w:ascii="楷体" w:hAnsi="楷体" w:eastAsia="楷体" w:cs="浠垮畫"/>
          <w:kern w:val="0"/>
          <w:sz w:val="21"/>
          <w:szCs w:val="21"/>
        </w:rPr>
        <w:t>60</w:t>
      </w:r>
      <w:r>
        <w:rPr>
          <w:rFonts w:hint="eastAsia" w:ascii="楷体" w:hAnsi="楷体" w:eastAsia="楷体" w:cs="浠垮畫"/>
          <w:kern w:val="0"/>
          <w:sz w:val="21"/>
          <w:szCs w:val="21"/>
        </w:rPr>
        <w:t>个工作日内、每年结束之日起</w:t>
      </w:r>
      <w:r>
        <w:rPr>
          <w:rFonts w:ascii="楷体" w:hAnsi="楷体" w:eastAsia="楷体" w:cs="浠垮畫"/>
          <w:kern w:val="0"/>
          <w:sz w:val="21"/>
          <w:szCs w:val="21"/>
        </w:rPr>
        <w:t>90</w:t>
      </w:r>
      <w:r>
        <w:rPr>
          <w:rFonts w:hint="eastAsia" w:ascii="楷体" w:hAnsi="楷体" w:eastAsia="楷体" w:cs="浠垮畫"/>
          <w:kern w:val="0"/>
          <w:sz w:val="21"/>
          <w:szCs w:val="21"/>
        </w:rPr>
        <w:t>个工作日内，披露产品季度、半年和年度报告等定期报告；产品成立不足</w:t>
      </w:r>
      <w:r>
        <w:rPr>
          <w:rFonts w:ascii="楷体" w:hAnsi="楷体" w:eastAsia="楷体" w:cs="浠垮畫"/>
          <w:kern w:val="0"/>
          <w:sz w:val="21"/>
          <w:szCs w:val="21"/>
        </w:rPr>
        <w:t>90</w:t>
      </w:r>
      <w:r>
        <w:rPr>
          <w:rFonts w:hint="eastAsia" w:ascii="楷体" w:hAnsi="楷体" w:eastAsia="楷体" w:cs="浠垮畫"/>
          <w:kern w:val="0"/>
          <w:sz w:val="21"/>
          <w:szCs w:val="21"/>
        </w:rPr>
        <w:t>个工作日或者剩余存续期不超过</w:t>
      </w:r>
      <w:r>
        <w:rPr>
          <w:rFonts w:ascii="楷体" w:hAnsi="楷体" w:eastAsia="楷体" w:cs="浠垮畫"/>
          <w:kern w:val="0"/>
          <w:sz w:val="21"/>
          <w:szCs w:val="21"/>
        </w:rPr>
        <w:t>90</w:t>
      </w:r>
      <w:r>
        <w:rPr>
          <w:rFonts w:hint="eastAsia" w:ascii="楷体" w:hAnsi="楷体" w:eastAsia="楷体" w:cs="浠垮畫"/>
          <w:kern w:val="0"/>
          <w:sz w:val="21"/>
          <w:szCs w:val="21"/>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3.到期公告：管理人在产品终止后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个工作日内，披露产品到期公告，内容包括理财产品的存续期限、终止日期、收费情况和收益分配情况等信息。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4.重大事项公告：管理人在发生可能对理财产品投资者或者理财产品收益产生重大事项的事件后</w:t>
      </w:r>
      <w:r>
        <w:rPr>
          <w:rFonts w:ascii="楷体" w:hAnsi="楷体" w:eastAsia="楷体" w:cs="浠垮畫"/>
          <w:kern w:val="0"/>
          <w:sz w:val="21"/>
          <w:szCs w:val="21"/>
        </w:rPr>
        <w:t>2</w:t>
      </w:r>
      <w:r>
        <w:rPr>
          <w:rFonts w:hint="eastAsia" w:ascii="楷体" w:hAnsi="楷体" w:eastAsia="楷体" w:cs="浠垮畫"/>
          <w:kern w:val="0"/>
          <w:sz w:val="21"/>
          <w:szCs w:val="21"/>
        </w:rPr>
        <w:t>个工作日内发布重大事项公告。</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5.产品净值披露：开放式公募理财产品将于每个开放日结束后2个工作日内披露开放日的份额净值、份额累计净值、</w:t>
      </w:r>
      <w:r>
        <w:rPr>
          <w:rFonts w:hint="eastAsia" w:ascii="楷体" w:hAnsi="楷体" w:eastAsia="楷体" w:cs="浠垮畫"/>
          <w:kern w:val="0"/>
          <w:sz w:val="21"/>
          <w:szCs w:val="21"/>
          <w:lang w:eastAsia="zh-CN"/>
        </w:rPr>
        <w:t>认/申购价格</w:t>
      </w:r>
      <w:r>
        <w:rPr>
          <w:rFonts w:hint="eastAsia" w:ascii="楷体" w:hAnsi="楷体" w:eastAsia="楷体" w:cs="浠垮畫"/>
          <w:kern w:val="0"/>
          <w:sz w:val="21"/>
          <w:szCs w:val="21"/>
        </w:rPr>
        <w:t>和赎回价格；封闭式公募理财产品将每周向投资者披露一次产品的资产净值和份额净值。</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6.临时性信息披露：管理人将及时披露国务院银行业监督管理机构规定的其他信息或除重大事项事件以外的其他信息。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7.半年度整体报告：每半年披露从事理财业务活动的有关信息。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（三）信息披露方式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由苏银理财按监管要求和说明书的约定，同时通过以下方式向投资者进行信息披露，披露方式包括：</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1.苏银理财通过苏银理财有限责任公司官方网站（</w:t>
      </w:r>
      <w:r>
        <w:rPr>
          <w:rFonts w:ascii="楷体" w:hAnsi="楷体" w:eastAsia="楷体" w:cs="浠垮畫"/>
          <w:kern w:val="0"/>
          <w:sz w:val="21"/>
          <w:szCs w:val="21"/>
        </w:rPr>
        <w:t>www</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suyinwealth</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com</w:t>
      </w:r>
      <w:r>
        <w:rPr>
          <w:rFonts w:hint="eastAsia" w:ascii="楷体" w:hAnsi="楷体" w:eastAsia="楷体" w:cs="浠垮畫"/>
          <w:kern w:val="0"/>
          <w:sz w:val="21"/>
          <w:szCs w:val="21"/>
        </w:rPr>
        <w:t>）进行信息披露。</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浠垮畫"/>
          <w:kern w:val="0"/>
          <w:sz w:val="21"/>
          <w:szCs w:val="21"/>
        </w:rPr>
        <w:t>2.</w:t>
      </w:r>
      <w:r>
        <w:rPr>
          <w:rFonts w:hint="eastAsia" w:ascii="楷体" w:hAnsi="楷体" w:eastAsia="楷体" w:cs="Calibri"/>
          <w:sz w:val="21"/>
          <w:szCs w:val="21"/>
        </w:rPr>
        <w:t>苏银理财将信息披露内容发送</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机构，由</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机构通过</w:t>
      </w:r>
      <w:r>
        <w:rPr>
          <w:rFonts w:hint="eastAsia" w:ascii="楷体" w:hAnsi="楷体" w:eastAsia="楷体" w:cs="Calibri"/>
          <w:sz w:val="21"/>
          <w:szCs w:val="21"/>
          <w:lang w:val="en-US" w:eastAsia="zh-CN"/>
        </w:rPr>
        <w:t>短信及代销</w:t>
      </w:r>
      <w:r>
        <w:rPr>
          <w:rFonts w:hint="eastAsia" w:ascii="楷体" w:hAnsi="楷体" w:eastAsia="楷体" w:cs="Calibri"/>
          <w:sz w:val="21"/>
          <w:szCs w:val="21"/>
        </w:rPr>
        <w:t>机构电子渠道和营业网点</w:t>
      </w:r>
      <w:r>
        <w:rPr>
          <w:rFonts w:hint="eastAsia" w:ascii="楷体" w:hAnsi="楷体" w:eastAsia="楷体" w:cs="Calibri"/>
          <w:sz w:val="21"/>
          <w:szCs w:val="21"/>
          <w:lang w:val="en-US" w:eastAsia="zh-CN"/>
        </w:rPr>
        <w:t>等方式</w:t>
      </w:r>
      <w:r>
        <w:rPr>
          <w:rFonts w:hint="eastAsia" w:ascii="楷体" w:hAnsi="楷体" w:eastAsia="楷体" w:cs="Calibri"/>
          <w:sz w:val="21"/>
          <w:szCs w:val="21"/>
        </w:rPr>
        <w:t>进行信息披露。</w:t>
      </w:r>
    </w:p>
    <w:p>
      <w:pPr>
        <w:ind w:firstLine="420" w:firstLineChars="200"/>
        <w:rPr>
          <w:rFonts w:ascii="楷体" w:hAnsi="楷体" w:eastAsia="楷体"/>
          <w:sz w:val="21"/>
          <w:szCs w:val="21"/>
        </w:rPr>
      </w:pPr>
      <w:r>
        <w:rPr>
          <w:rFonts w:hint="eastAsia" w:ascii="楷体" w:hAnsi="楷体" w:eastAsia="楷体"/>
          <w:sz w:val="21"/>
          <w:szCs w:val="21"/>
        </w:rPr>
        <w:t>相关信息在发布或发出之日视为通知已送达投资者并生效，请您及时登陆苏银理财有限责任</w:t>
      </w:r>
      <w:r>
        <w:rPr>
          <w:rFonts w:hint="eastAsia" w:ascii="楷体" w:hAnsi="楷体" w:eastAsia="楷体"/>
          <w:sz w:val="21"/>
          <w:szCs w:val="21"/>
          <w:lang w:val="en-US" w:eastAsia="zh-CN"/>
        </w:rPr>
        <w:t>公司</w:t>
      </w:r>
      <w:r>
        <w:rPr>
          <w:rFonts w:hint="eastAsia" w:ascii="楷体" w:hAnsi="楷体" w:eastAsia="楷体"/>
          <w:sz w:val="21"/>
          <w:szCs w:val="21"/>
        </w:rPr>
        <w:t>官方网站或者向</w:t>
      </w:r>
      <w:r>
        <w:rPr>
          <w:rFonts w:hint="eastAsia" w:ascii="楷体" w:hAnsi="楷体" w:eastAsia="楷体"/>
          <w:sz w:val="21"/>
          <w:szCs w:val="21"/>
          <w:lang w:val="en-US" w:eastAsia="zh-CN"/>
        </w:rPr>
        <w:t>代销</w:t>
      </w:r>
      <w:r>
        <w:rPr>
          <w:rFonts w:hint="eastAsia" w:ascii="楷体" w:hAnsi="楷体" w:eastAsia="楷体"/>
          <w:sz w:val="21"/>
          <w:szCs w:val="21"/>
        </w:rPr>
        <w:t>机构查询获取披露信息。</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五、投资者对理财产品的投诉方式和程序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（一）投诉方式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w:t>
      </w:r>
      <w:r>
        <w:rPr>
          <w:rFonts w:ascii="楷体" w:hAnsi="楷体" w:eastAsia="楷体" w:cs="浠垮畫"/>
          <w:kern w:val="0"/>
          <w:sz w:val="21"/>
          <w:szCs w:val="21"/>
        </w:rPr>
        <w:t>如认为代销机构推介、销售产品时有不实或未尽风险告知职责或其它疑义事项，或对代销机构服务有任何意见或建议，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可通过拨打代销机构客服</w:t>
      </w:r>
      <w:r>
        <w:rPr>
          <w:rFonts w:hint="eastAsia" w:ascii="楷体" w:hAnsi="楷体" w:eastAsia="楷体" w:cs="浠垮畫"/>
          <w:kern w:val="0"/>
          <w:sz w:val="21"/>
          <w:szCs w:val="21"/>
        </w:rPr>
        <w:t>电话</w:t>
      </w:r>
      <w:r>
        <w:rPr>
          <w:rFonts w:ascii="楷体" w:hAnsi="楷体" w:eastAsia="楷体" w:cs="浠垮畫"/>
          <w:kern w:val="0"/>
          <w:sz w:val="21"/>
          <w:szCs w:val="21"/>
        </w:rPr>
        <w:t>进行反馈。代销机构将由专人接听、记录您的意见或建议，并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您如认为对理财产品设计、投资管理、风险控制、信息披露等事项有任何</w:t>
      </w:r>
      <w:r>
        <w:rPr>
          <w:rFonts w:ascii="楷体" w:hAnsi="楷体" w:eastAsia="楷体" w:cs="浠垮畫"/>
          <w:kern w:val="0"/>
          <w:sz w:val="21"/>
          <w:szCs w:val="21"/>
        </w:rPr>
        <w:t>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可通过管理人客服</w:t>
      </w:r>
      <w:r>
        <w:rPr>
          <w:rFonts w:hint="eastAsia" w:ascii="楷体" w:hAnsi="楷体" w:eastAsia="楷体" w:cs="浠垮畫"/>
          <w:kern w:val="0"/>
          <w:sz w:val="21"/>
          <w:szCs w:val="21"/>
        </w:rPr>
        <w:t>电话或电子邮箱</w:t>
      </w:r>
      <w:r>
        <w:rPr>
          <w:rFonts w:ascii="楷体" w:hAnsi="楷体" w:eastAsia="楷体" w:cs="浠垮畫"/>
          <w:kern w:val="0"/>
          <w:sz w:val="21"/>
          <w:szCs w:val="21"/>
        </w:rPr>
        <w:t>进行反馈。产品管理人将由专人接听、记录您的意见或建议，并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（二）投诉处理流程</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1.苏银理财投诉处理流程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8" o:spt="75" type="#_x0000_t75" style="height:243.65pt;width:249.9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w:t>
      </w:r>
      <w:r>
        <w:rPr>
          <w:rFonts w:ascii="楷体" w:hAnsi="楷体" w:eastAsia="楷体" w:cs="浠垮畫"/>
          <w:kern w:val="0"/>
          <w:sz w:val="21"/>
          <w:szCs w:val="21"/>
        </w:rPr>
        <w:t>代销机构</w:t>
      </w:r>
      <w:r>
        <w:rPr>
          <w:rFonts w:hint="eastAsia" w:ascii="楷体" w:hAnsi="楷体" w:eastAsia="楷体" w:cs="浠垮畫"/>
          <w:kern w:val="0"/>
          <w:sz w:val="21"/>
          <w:szCs w:val="21"/>
        </w:rPr>
        <w:t>投诉处理流程见</w:t>
      </w:r>
      <w:r>
        <w:rPr>
          <w:rFonts w:ascii="楷体" w:hAnsi="楷体" w:eastAsia="楷体" w:cs="浠垮畫"/>
          <w:kern w:val="0"/>
          <w:sz w:val="21"/>
          <w:szCs w:val="21"/>
        </w:rPr>
        <w:t>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六、联络方式</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（一）苏银理财有限责任公司</w:t>
      </w:r>
    </w:p>
    <w:p>
      <w:pPr>
        <w:tabs>
          <w:tab w:val="right" w:pos="8306"/>
        </w:tabs>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1.官方网站：www.suyinwealth.com</w:t>
      </w:r>
      <w:r>
        <w:rPr>
          <w:rFonts w:ascii="楷体" w:hAnsi="楷体" w:eastAsia="楷体" w:cs="浠垮畫"/>
          <w:kern w:val="0"/>
          <w:sz w:val="21"/>
          <w:szCs w:val="21"/>
        </w:rPr>
        <w:tab/>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2.电子邮箱：service@suyinwealth.com</w:t>
      </w:r>
    </w:p>
    <w:p>
      <w:pPr>
        <w:autoSpaceDE w:val="0"/>
        <w:autoSpaceDN w:val="0"/>
        <w:adjustRightInd w:val="0"/>
        <w:ind w:firstLine="420" w:firstLineChars="200"/>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3.客户服务热线：95319</w:t>
      </w:r>
      <w:r>
        <w:rPr>
          <w:rFonts w:hint="eastAsia" w:ascii="楷体" w:hAnsi="楷体" w:eastAsia="楷体" w:cs="浠垮畫"/>
          <w:kern w:val="0"/>
          <w:sz w:val="21"/>
          <w:szCs w:val="21"/>
          <w:lang w:val="en-US" w:eastAsia="zh-CN"/>
        </w:rPr>
        <w:t>-8-2</w:t>
      </w:r>
    </w:p>
    <w:p>
      <w:pPr>
        <w:autoSpaceDE w:val="0"/>
        <w:autoSpaceDN w:val="0"/>
        <w:adjustRightInd w:val="0"/>
        <w:ind w:firstLine="420" w:firstLineChars="200"/>
        <w:rPr>
          <w:rFonts w:hint="default" w:ascii="楷体" w:hAnsi="楷体" w:eastAsia="楷体" w:cs="浠垮畫"/>
          <w:kern w:val="0"/>
          <w:sz w:val="21"/>
          <w:szCs w:val="21"/>
          <w:lang w:val="en-US" w:eastAsia="zh-CN"/>
        </w:rPr>
      </w:pPr>
      <w:r>
        <w:rPr>
          <w:rFonts w:hint="default" w:ascii="楷体" w:hAnsi="楷体" w:eastAsia="楷体" w:cs="浠垮畫"/>
          <w:kern w:val="0"/>
          <w:sz w:val="21"/>
          <w:szCs w:val="21"/>
          <w:lang w:val="en-US" w:eastAsia="zh-CN"/>
        </w:rPr>
        <w:t>4.地址：南京市建邺区江山大街70号国际博览中心三期B幢11-13层</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若上述联系方式变更，苏银理财将提前发布公告及时告知投资者。</w:t>
      </w:r>
    </w:p>
    <w:p>
      <w:pPr>
        <w:autoSpaceDE w:val="0"/>
        <w:autoSpaceDN w:val="0"/>
        <w:adjustRightInd w:val="0"/>
        <w:ind w:firstLine="420" w:firstLineChars="200"/>
        <w:rPr>
          <w:rFonts w:hint="eastAsia" w:ascii="楷体" w:hAnsi="楷体" w:eastAsia="楷体" w:cs="浠垮畫"/>
          <w:b/>
          <w:kern w:val="0"/>
          <w:sz w:val="21"/>
          <w:szCs w:val="21"/>
        </w:rPr>
      </w:pPr>
      <w:r>
        <w:rPr>
          <w:rFonts w:ascii="楷体" w:hAnsi="楷体" w:eastAsia="楷体" w:cs="浠垮畫"/>
          <w:kern w:val="0"/>
          <w:sz w:val="21"/>
          <w:szCs w:val="21"/>
        </w:rPr>
        <w:t>（二）代销机构联络方式详见代销机构提供的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hint="eastAsia" w:ascii="楷体" w:hAnsi="楷体" w:eastAsia="楷体" w:cs="浠垮畫"/>
          <w:b/>
          <w:kern w:val="0"/>
          <w:sz w:val="21"/>
          <w:szCs w:val="21"/>
          <w:u w:val="single"/>
        </w:rPr>
      </w:pPr>
      <w:r>
        <w:rPr>
          <w:rFonts w:hint="eastAsia" w:ascii="楷体" w:hAnsi="楷体" w:eastAsia="楷体" w:cs="浠垮畫"/>
          <w:b/>
          <w:kern w:val="0"/>
          <w:sz w:val="21"/>
          <w:szCs w:val="21"/>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等销售文件后，划款时无需通过任何方式与本人/本机构进行最后确认，可以直接划款。</w:t>
      </w:r>
    </w:p>
    <w:p>
      <w:pPr>
        <w:rPr>
          <w:rFonts w:hint="eastAsia" w:ascii="楷体" w:hAnsi="楷体" w:eastAsia="楷体"/>
          <w:sz w:val="21"/>
          <w:szCs w:val="21"/>
        </w:rPr>
      </w:pPr>
    </w:p>
    <w:p>
      <w:pPr>
        <w:ind w:firstLine="420" w:firstLineChars="200"/>
        <w:rPr>
          <w:rFonts w:hint="eastAsia" w:ascii="楷体" w:hAnsi="楷体" w:eastAsia="楷体"/>
          <w:sz w:val="21"/>
          <w:szCs w:val="21"/>
        </w:rPr>
      </w:pPr>
    </w:p>
    <w:sectPr>
      <w:headerReference r:id="rId5" w:type="first"/>
      <w:headerReference r:id="rId3" w:type="default"/>
      <w:footerReference r:id="rId6" w:type="default"/>
      <w:headerReference r:id="rId4"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61606D5"/>
    <w:rsid w:val="06163E98"/>
    <w:rsid w:val="067C4002"/>
    <w:rsid w:val="071C38A8"/>
    <w:rsid w:val="07264310"/>
    <w:rsid w:val="074B4FA1"/>
    <w:rsid w:val="07731EDA"/>
    <w:rsid w:val="084B6744"/>
    <w:rsid w:val="08F80683"/>
    <w:rsid w:val="0A173570"/>
    <w:rsid w:val="0B707790"/>
    <w:rsid w:val="0B721E65"/>
    <w:rsid w:val="0C45445B"/>
    <w:rsid w:val="0C944AE0"/>
    <w:rsid w:val="0C973E26"/>
    <w:rsid w:val="0DAF4280"/>
    <w:rsid w:val="0F654FB0"/>
    <w:rsid w:val="100F298C"/>
    <w:rsid w:val="109B7D77"/>
    <w:rsid w:val="10E55ACF"/>
    <w:rsid w:val="11060FA2"/>
    <w:rsid w:val="11901742"/>
    <w:rsid w:val="11EC350B"/>
    <w:rsid w:val="13A4655C"/>
    <w:rsid w:val="13EB4DC2"/>
    <w:rsid w:val="149E4339"/>
    <w:rsid w:val="158E7E44"/>
    <w:rsid w:val="15CF287D"/>
    <w:rsid w:val="16D34A53"/>
    <w:rsid w:val="175F5C40"/>
    <w:rsid w:val="18485B9A"/>
    <w:rsid w:val="192B2CC4"/>
    <w:rsid w:val="1B081AAC"/>
    <w:rsid w:val="1B1644A1"/>
    <w:rsid w:val="1B5015DA"/>
    <w:rsid w:val="1EAE1EFC"/>
    <w:rsid w:val="1F5E32BF"/>
    <w:rsid w:val="208C27F0"/>
    <w:rsid w:val="21994ACB"/>
    <w:rsid w:val="224E1196"/>
    <w:rsid w:val="225459BF"/>
    <w:rsid w:val="23D746D9"/>
    <w:rsid w:val="23DE761C"/>
    <w:rsid w:val="247058DA"/>
    <w:rsid w:val="24771EED"/>
    <w:rsid w:val="24AE36B3"/>
    <w:rsid w:val="25AB0BC2"/>
    <w:rsid w:val="26930344"/>
    <w:rsid w:val="26AF2958"/>
    <w:rsid w:val="2715189C"/>
    <w:rsid w:val="284D27E8"/>
    <w:rsid w:val="28A904E4"/>
    <w:rsid w:val="29374942"/>
    <w:rsid w:val="2C9F7A9F"/>
    <w:rsid w:val="2CA03B11"/>
    <w:rsid w:val="2CA704E8"/>
    <w:rsid w:val="2D2C1113"/>
    <w:rsid w:val="2DB23EAD"/>
    <w:rsid w:val="313A5F04"/>
    <w:rsid w:val="31A326AD"/>
    <w:rsid w:val="31AB73B6"/>
    <w:rsid w:val="32E06116"/>
    <w:rsid w:val="32E13316"/>
    <w:rsid w:val="3301632F"/>
    <w:rsid w:val="3302137C"/>
    <w:rsid w:val="336B039B"/>
    <w:rsid w:val="340121F5"/>
    <w:rsid w:val="34A623E5"/>
    <w:rsid w:val="34F33587"/>
    <w:rsid w:val="351C08D6"/>
    <w:rsid w:val="353B7940"/>
    <w:rsid w:val="35AA0E18"/>
    <w:rsid w:val="36402E31"/>
    <w:rsid w:val="36433849"/>
    <w:rsid w:val="365D339C"/>
    <w:rsid w:val="368A2ACE"/>
    <w:rsid w:val="38563E9E"/>
    <w:rsid w:val="3A7007EE"/>
    <w:rsid w:val="3B9519DF"/>
    <w:rsid w:val="3BE57419"/>
    <w:rsid w:val="3D153712"/>
    <w:rsid w:val="3D205CE9"/>
    <w:rsid w:val="3E2D678E"/>
    <w:rsid w:val="3E335F6C"/>
    <w:rsid w:val="3FBE4A8F"/>
    <w:rsid w:val="3FDD0FD4"/>
    <w:rsid w:val="404C5434"/>
    <w:rsid w:val="40CE75B7"/>
    <w:rsid w:val="42CC1880"/>
    <w:rsid w:val="44DF4FDA"/>
    <w:rsid w:val="465E26CD"/>
    <w:rsid w:val="46996AFD"/>
    <w:rsid w:val="47665A62"/>
    <w:rsid w:val="4A120FE1"/>
    <w:rsid w:val="4A9D0981"/>
    <w:rsid w:val="4DB908E0"/>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9AB3818"/>
    <w:rsid w:val="5A594CC3"/>
    <w:rsid w:val="5F4A0338"/>
    <w:rsid w:val="5F4B6306"/>
    <w:rsid w:val="5F813FB4"/>
    <w:rsid w:val="60157F0E"/>
    <w:rsid w:val="60F67612"/>
    <w:rsid w:val="61186932"/>
    <w:rsid w:val="641F5B3D"/>
    <w:rsid w:val="64DE5FDC"/>
    <w:rsid w:val="66076538"/>
    <w:rsid w:val="661D5AE2"/>
    <w:rsid w:val="68103D21"/>
    <w:rsid w:val="68E74880"/>
    <w:rsid w:val="698719E7"/>
    <w:rsid w:val="699F3FEA"/>
    <w:rsid w:val="69C04ABB"/>
    <w:rsid w:val="6A1914BA"/>
    <w:rsid w:val="6A2F5934"/>
    <w:rsid w:val="6A7D6AC8"/>
    <w:rsid w:val="6ACE4D37"/>
    <w:rsid w:val="6CDB178F"/>
    <w:rsid w:val="6D4B40C0"/>
    <w:rsid w:val="6FAE3061"/>
    <w:rsid w:val="71084330"/>
    <w:rsid w:val="72D967C4"/>
    <w:rsid w:val="7396760B"/>
    <w:rsid w:val="73A56C56"/>
    <w:rsid w:val="73D33EF5"/>
    <w:rsid w:val="73F64236"/>
    <w:rsid w:val="74966354"/>
    <w:rsid w:val="751B0501"/>
    <w:rsid w:val="755D7996"/>
    <w:rsid w:val="75626B88"/>
    <w:rsid w:val="75784475"/>
    <w:rsid w:val="75B708C9"/>
    <w:rsid w:val="763900A2"/>
    <w:rsid w:val="767E6C03"/>
    <w:rsid w:val="77667C2A"/>
    <w:rsid w:val="786D6001"/>
    <w:rsid w:val="794569C4"/>
    <w:rsid w:val="7B54390E"/>
    <w:rsid w:val="7C020026"/>
    <w:rsid w:val="7C254D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9"/>
    <w:unhideWhenUsed/>
    <w:qFormat/>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8"/>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7"/>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1"/>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24"/>
    <w:unhideWhenUsed/>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uiPriority w:val="99"/>
    <w:rPr>
      <w:vertAlign w:val="superscript"/>
    </w:rPr>
  </w:style>
  <w:style w:type="character" w:customStyle="1" w:styleId="21">
    <w:name w:val="脚注文本 字符1"/>
    <w:link w:val="11"/>
    <w:semiHidden/>
    <w:uiPriority w:val="99"/>
    <w:rPr>
      <w:kern w:val="2"/>
      <w:sz w:val="18"/>
      <w:szCs w:val="18"/>
    </w:rPr>
  </w:style>
  <w:style w:type="character" w:customStyle="1" w:styleId="22">
    <w:name w:val="正文文本 字符"/>
    <w:link w:val="6"/>
    <w:uiPriority w:val="1"/>
    <w:rPr>
      <w:rFonts w:ascii="宋体" w:hAnsi="Times New Roman" w:eastAsia="宋体" w:cs="宋体"/>
      <w:kern w:val="0"/>
      <w:szCs w:val="21"/>
    </w:rPr>
  </w:style>
  <w:style w:type="character" w:customStyle="1" w:styleId="23">
    <w:name w:val="脚注文本 字符"/>
    <w:semiHidden/>
    <w:qFormat/>
    <w:uiPriority w:val="99"/>
    <w:rPr>
      <w:kern w:val="2"/>
      <w:sz w:val="18"/>
      <w:szCs w:val="18"/>
    </w:rPr>
  </w:style>
  <w:style w:type="character" w:customStyle="1" w:styleId="24">
    <w:name w:val="批注主题 字符"/>
    <w:link w:val="13"/>
    <w:semiHidden/>
    <w:qFormat/>
    <w:uiPriority w:val="99"/>
    <w:rPr>
      <w:b/>
      <w:bCs/>
      <w:kern w:val="2"/>
      <w:sz w:val="21"/>
      <w:szCs w:val="22"/>
    </w:rPr>
  </w:style>
  <w:style w:type="character" w:customStyle="1" w:styleId="25">
    <w:name w:val="批注框文本 字符"/>
    <w:link w:val="8"/>
    <w:semiHidden/>
    <w:qFormat/>
    <w:uiPriority w:val="99"/>
    <w:rPr>
      <w:sz w:val="18"/>
      <w:szCs w:val="18"/>
    </w:rPr>
  </w:style>
  <w:style w:type="character" w:customStyle="1" w:styleId="26">
    <w:name w:val="页眉 字符"/>
    <w:link w:val="10"/>
    <w:qFormat/>
    <w:uiPriority w:val="99"/>
    <w:rPr>
      <w:sz w:val="18"/>
      <w:szCs w:val="18"/>
    </w:rPr>
  </w:style>
  <w:style w:type="character" w:customStyle="1" w:styleId="27">
    <w:name w:val="页脚 字符"/>
    <w:link w:val="9"/>
    <w:uiPriority w:val="99"/>
    <w:rPr>
      <w:sz w:val="18"/>
      <w:szCs w:val="18"/>
    </w:rPr>
  </w:style>
  <w:style w:type="character" w:customStyle="1" w:styleId="28">
    <w:name w:val="日期 字符"/>
    <w:basedOn w:val="16"/>
    <w:link w:val="7"/>
    <w:semiHidden/>
    <w:uiPriority w:val="99"/>
  </w:style>
  <w:style w:type="character" w:customStyle="1" w:styleId="29">
    <w:name w:val="批注文字 字符"/>
    <w:link w:val="5"/>
    <w:uiPriority w:val="99"/>
    <w:rPr>
      <w:kern w:val="2"/>
      <w:sz w:val="21"/>
      <w:szCs w:val="22"/>
    </w:rPr>
  </w:style>
  <w:style w:type="character" w:customStyle="1" w:styleId="30">
    <w:name w:val="标题 3 字符"/>
    <w:link w:val="4"/>
    <w:uiPriority w:val="1"/>
    <w:rPr>
      <w:rFonts w:ascii="宋体" w:hAnsi="Times New Roman" w:eastAsia="宋体" w:cs="宋体"/>
      <w:b/>
      <w:bCs/>
      <w:kern w:val="0"/>
      <w:szCs w:val="21"/>
    </w:rPr>
  </w:style>
  <w:style w:type="character" w:customStyle="1" w:styleId="31">
    <w:name w:val="标题 1 字符"/>
    <w:link w:val="2"/>
    <w:qFormat/>
    <w:uiPriority w:val="1"/>
    <w:rPr>
      <w:rFonts w:ascii="黑体" w:hAnsi="Times New Roman" w:eastAsia="黑体" w:cs="黑体"/>
      <w:b/>
      <w:bCs/>
      <w:kern w:val="0"/>
      <w:sz w:val="36"/>
      <w:szCs w:val="36"/>
    </w:rPr>
  </w:style>
  <w:style w:type="character" w:customStyle="1" w:styleId="32">
    <w:name w:val="标题 2 字符"/>
    <w:link w:val="3"/>
    <w:qFormat/>
    <w:uiPriority w:val="9"/>
    <w:rPr>
      <w:rFonts w:ascii="Cambria" w:hAnsi="Cambria" w:eastAsia="宋体" w:cs="Times New Roman"/>
      <w:b/>
      <w:bCs/>
      <w:sz w:val="32"/>
      <w:szCs w:val="32"/>
    </w:rPr>
  </w:style>
  <w:style w:type="paragraph" w:styleId="33">
    <w:name w:val="List Paragraph"/>
    <w:basedOn w:val="1"/>
    <w:qFormat/>
    <w:uiPriority w:val="72"/>
    <w:pPr>
      <w:ind w:firstLine="420" w:firstLineChars="200"/>
    </w:pPr>
  </w:style>
  <w:style w:type="paragraph" w:customStyle="1" w:styleId="34">
    <w:name w:val="Defaul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_Style 35"/>
    <w:semiHidden/>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1</TotalTime>
  <ScaleCrop>false</ScaleCrop>
  <LinksUpToDate>false</LinksUpToDate>
  <CharactersWithSpaces>3747</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2025-08-28T06:06:17Z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CB671AA80558466B8256F358F223BEE2</vt:lpwstr>
  </property>
</Properties>
</file>