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苏银理财恒源封闭债权222期优选2年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等。请仔细阅读《“苏银理财恒源</w:t>
      </w:r>
      <w:r>
        <w:rPr>
          <w:rFonts w:hint="eastAsia" w:ascii="楷体" w:hAnsi="楷体" w:eastAsia="楷体"/>
          <w:sz w:val="21"/>
          <w:szCs w:val="21"/>
          <w:lang w:eastAsia="zh-CN"/>
        </w:rPr>
        <w:t>封闭债权222期优选2年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苏银理财恒源封闭债权222期优选2年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Z7003125000220，</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A份额：苏银理财恒源封闭债权222期优选2年A/J07146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B份额：苏银理财恒源封闭债权222期优选2年B/J07147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C份额：苏银理财恒源封闭债权222期优选2年C/J07148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D份额：苏银理财恒源封闭债权222期优选2年D/J07149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E份额：苏银理财恒源封闭债权222期优选2年E/J07150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F份额：苏银理财恒源封闭债权222期优选2年F/J07151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G份额：苏银理财恒源封闭债权222期优选2年G/J07152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H份额：苏银理财恒源封闭债权222期优选2年H/J07153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I份额：苏银理财恒源封闭债权222期优选2年I/J07154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J份额：苏银理财恒源封闭债权222期优选2年J/J07155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K份额：苏银理财恒源封闭债权222期优选2年K/J07156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Z份额：苏银理财恒源封闭债权222期优选2年Z/J07157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JS份额：苏银理财恒源封闭债权222期优选2年JS鑫福款/J07158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·优选份额：苏银理财恒源封闭债权222期优选2年（芙蓉锦程 ·优选）/J07159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募集期及资金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28</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2025年9月4日，如管理人调整募集期，则产品成立日/份额登记日将相应调整，以管理人公告为准。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22</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2.70%-3.10%/B份额：2.70%-3.10%/C份额：2.75%-3.15%/D份额：2.70%-3.10%/E份额：2.80%-3.20%/F份额：2.75%-3.15%/G份额：2.60%-3.00%/H份额：2.65%-3.05%/I份额：2.90%-3.30%/J份额：2.70%-3.10%/K份额：2.65%-3.05%/Z份额：2.85%-3.25%/JS份额：2.70%-3.10%/芙蓉锦程 ·优选份额：2.80%-3.20%。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bookmarkStart w:id="0" w:name="_GoBack"/>
            <w:r>
              <w:rPr>
                <w:rFonts w:hint="eastAsia" w:ascii="楷体" w:hAnsi="楷体" w:eastAsia="楷体" w:cs="宋体"/>
                <w:b/>
                <w:spacing w:val="-2"/>
                <w:sz w:val="18"/>
                <w:szCs w:val="18"/>
                <w:u w:val="single"/>
                <w:lang w:val="en-US" w:eastAsia="zh-CN"/>
              </w:rPr>
              <w:t>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I份额：0.01%</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B份额：上海银行股份有限公司/徽商银行股份有限公司/重庆三峡银行股份有限公司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9257E"/>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2025-08-28T06:06:15Z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