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156" w:beforeLines="50" w:beforeAutospacing="0" w:after="0" w:afterAutospacing="0"/>
        <w:jc w:val="center"/>
        <w:rPr>
          <w:rFonts w:hint="eastAsia" w:ascii="楷体" w:hAnsi="楷体" w:eastAsia="楷体"/>
          <w:b/>
          <w:sz w:val="36"/>
          <w:szCs w:val="36"/>
        </w:rPr>
      </w:pPr>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536190"/>
                <wp:effectExtent l="4445" t="5080" r="7620" b="11430"/>
                <wp:wrapSquare wrapText="bothSides"/>
                <wp:docPr id="1" name="文本框 2"/>
                <wp:cNvGraphicFramePr/>
                <a:graphic xmlns:a="http://schemas.openxmlformats.org/drawingml/2006/main">
                  <a:graphicData uri="http://schemas.microsoft.com/office/word/2010/wordprocessingShape">
                    <wps:wsp>
                      <wps:cNvSpPr txBox="1"/>
                      <wps:spPr>
                        <a:xfrm>
                          <a:off x="0" y="0"/>
                          <a:ext cx="5931535" cy="253619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按季</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numPr>
                                <w:ilvl w:val="0"/>
                                <w:numId w:val="0"/>
                              </w:numPr>
                              <w:ind w:leftChars="0"/>
                              <w:rPr>
                                <w:rFonts w:hint="eastAsia" w:ascii="楷体" w:hAnsi="楷体" w:eastAsia="楷体" w:cs="宋体"/>
                                <w:b w:val="0"/>
                                <w:bCs/>
                                <w:spacing w:val="-2"/>
                                <w:szCs w:val="21"/>
                                <w:highlight w:val="none"/>
                                <w:u w:val="none"/>
                              </w:rPr>
                            </w:pPr>
                            <w:r>
                              <w:rPr>
                                <w:rFonts w:hint="eastAsia" w:ascii="楷体" w:hAnsi="楷体" w:eastAsia="楷体" w:cs="宋体"/>
                                <w:b w:val="0"/>
                                <w:bCs/>
                                <w:spacing w:val="-2"/>
                                <w:szCs w:val="21"/>
                                <w:highlight w:val="none"/>
                                <w:u w:val="none"/>
                              </w:rPr>
                              <w:t>以上为本产品的特别提示，详细内容请仔细阅读理财产品合同。</w:t>
                            </w:r>
                          </w:p>
                          <w:p>
                            <w:pPr>
                              <w:jc w:val="left"/>
                              <w:rPr>
                                <w:rFonts w:hint="eastAsia" w:ascii="楷体" w:hAnsi="楷体" w:eastAsia="楷体"/>
                              </w:rPr>
                            </w:pPr>
                          </w:p>
                        </w:txbxContent>
                      </wps:txbx>
                      <wps:bodyPr vert="horz" wrap="square" anchor="t" anchorCtr="0" upright="1"/>
                    </wps:wsp>
                  </a:graphicData>
                </a:graphic>
              </wp:anchor>
            </w:drawing>
          </mc:Choice>
          <mc:Fallback>
            <w:pict>
              <v:shape id="文本框 2" o:spid="_x0000_s1026" o:spt="202" type="#_x0000_t202" style="position:absolute;left:0pt;margin-left:-26.35pt;margin-top:4.85pt;height:199.7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j&#10;yCrXAAAACQEAAA8AAAAAAAAAAQAgAAAAIgAAAGRycy9kb3ducmV2LnhtbFBLAQIUABQAAAAIAIdO&#10;4kAayOq6JAIAAEEEAAAOAAAAAAAAAAEAIAAAACYBAABkcnMvZTJvRG9jLnhtbFBLBQYAAAAABgAG&#10;AFkBAAC8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w:t>
                      </w:r>
                      <w:r>
                        <w:rPr>
                          <w:rFonts w:hint="eastAsia" w:ascii="楷体" w:hAnsi="楷体" w:eastAsia="楷体" w:cs="宋体"/>
                          <w:b/>
                          <w:spacing w:val="-2"/>
                          <w:szCs w:val="21"/>
                          <w:u w:val="single"/>
                          <w:lang w:val="en-US" w:eastAsia="zh-CN"/>
                        </w:rPr>
                        <w:t>按季</w:t>
                      </w:r>
                      <w:r>
                        <w:rPr>
                          <w:rFonts w:hint="eastAsia" w:ascii="楷体" w:hAnsi="楷体" w:eastAsia="楷体" w:cs="宋体"/>
                          <w:b/>
                          <w:spacing w:val="-2"/>
                          <w:szCs w:val="21"/>
                          <w:u w:val="single"/>
                        </w:rPr>
                        <w:t>定开理财产品，未到开放时间客户无法赎回，请客户根据自身资金使用需要在开放时间内发起赎回申请。</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实际收取的销售服务费率、投资管理费率以及业绩比较基准存在差异，客户根据产品销售时设置的条件自主选择购买。</w:t>
                      </w:r>
                    </w:p>
                    <w:p>
                      <w:pPr>
                        <w:numPr>
                          <w:ilvl w:val="0"/>
                          <w:numId w:val="1"/>
                        </w:numPr>
                        <w:ind w:right="115" w:rightChars="55"/>
                        <w:rPr>
                          <w:rFonts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客户服务热线：95319-</w:t>
                      </w:r>
                      <w:r>
                        <w:rPr>
                          <w:rFonts w:hint="eastAsia" w:ascii="楷体" w:hAnsi="楷体" w:eastAsia="楷体" w:cs="宋体"/>
                          <w:b/>
                          <w:spacing w:val="-2"/>
                          <w:szCs w:val="21"/>
                          <w:highlight w:val="none"/>
                          <w:u w:val="single"/>
                          <w:lang w:val="en-US" w:eastAsia="zh-CN"/>
                        </w:rPr>
                        <w:t>8-2</w:t>
                      </w:r>
                      <w:r>
                        <w:rPr>
                          <w:rFonts w:hint="eastAsia" w:ascii="楷体" w:hAnsi="楷体" w:eastAsia="楷体" w:cs="宋体"/>
                          <w:b/>
                          <w:spacing w:val="-2"/>
                          <w:szCs w:val="21"/>
                          <w:highlight w:val="none"/>
                          <w:u w:val="single"/>
                        </w:rPr>
                        <w:t>。</w:t>
                      </w:r>
                    </w:p>
                    <w:p>
                      <w:pPr>
                        <w:numPr>
                          <w:ilvl w:val="0"/>
                          <w:numId w:val="0"/>
                        </w:numPr>
                        <w:ind w:leftChars="0"/>
                        <w:rPr>
                          <w:rFonts w:hint="eastAsia" w:ascii="楷体" w:hAnsi="楷体" w:eastAsia="楷体" w:cs="宋体"/>
                          <w:b w:val="0"/>
                          <w:bCs/>
                          <w:spacing w:val="-2"/>
                          <w:szCs w:val="21"/>
                          <w:highlight w:val="none"/>
                          <w:u w:val="none"/>
                        </w:rPr>
                      </w:pPr>
                      <w:r>
                        <w:rPr>
                          <w:rFonts w:hint="eastAsia" w:ascii="楷体" w:hAnsi="楷体" w:eastAsia="楷体" w:cs="宋体"/>
                          <w:b w:val="0"/>
                          <w:bCs/>
                          <w:spacing w:val="-2"/>
                          <w:szCs w:val="21"/>
                          <w:highlight w:val="none"/>
                          <w:u w:val="none"/>
                        </w:rPr>
                        <w:t>以上为本产品的特别提示，详细内容请仔细阅读理财产品合同。</w:t>
                      </w:r>
                    </w:p>
                    <w:p>
                      <w:pPr>
                        <w:jc w:val="left"/>
                        <w:rPr>
                          <w:rFonts w:hint="eastAsia" w:ascii="楷体" w:hAnsi="楷体" w:eastAsia="楷体"/>
                        </w:rPr>
                      </w:pP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恒源季开放2号</w:t>
      </w:r>
      <w:r>
        <w:rPr>
          <w:rFonts w:hint="eastAsia" w:ascii="楷体" w:hAnsi="楷体" w:eastAsia="楷体"/>
          <w:b/>
          <w:sz w:val="36"/>
          <w:szCs w:val="36"/>
        </w:rPr>
        <w:t>”理财产品合同</w:t>
      </w:r>
    </w:p>
    <w:p>
      <w:pPr>
        <w:pStyle w:val="13"/>
        <w:spacing w:before="0" w:beforeAutospacing="0" w:after="0" w:afterAutospacing="0" w:line="360" w:lineRule="auto"/>
        <w:jc w:val="center"/>
        <w:outlineLvl w:val="0"/>
        <w:rPr>
          <w:rFonts w:hint="eastAsia" w:ascii="楷体" w:hAnsi="楷体" w:eastAsia="楷体"/>
          <w:b/>
        </w:rPr>
      </w:pPr>
      <w:r>
        <w:rPr>
          <w:rFonts w:hint="eastAsia" w:ascii="楷体" w:hAnsi="楷体" w:eastAsia="楷体"/>
          <w:b/>
          <w:sz w:val="32"/>
          <w:szCs w:val="32"/>
        </w:rPr>
        <w:t>理财非存款、产品有风险、投资须谨慎</w:t>
      </w:r>
    </w:p>
    <w:p>
      <w:pPr>
        <w:pStyle w:val="13"/>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8</w:t>
      </w:r>
      <w:r>
        <w:rPr>
          <w:rFonts w:hint="eastAsia" w:ascii="楷体" w:hAnsi="楷体" w:eastAsia="楷体"/>
          <w:b/>
        </w:rPr>
        <w:t>月版）</w:t>
      </w:r>
      <w:r>
        <w:rPr>
          <w:rFonts w:hint="eastAsia" w:ascii="楷体" w:hAnsi="楷体" w:eastAsia="楷体"/>
          <w:b/>
          <w:lang w:val="en-US" w:eastAsia="zh-CN"/>
        </w:rPr>
        <w:t xml:space="preserve"> </w:t>
      </w:r>
    </w:p>
    <w:tbl>
      <w:tblPr>
        <w:tblStyle w:val="15"/>
        <w:tblW w:w="893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恒源季开放2号</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恒源季开放2号</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1"/>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1"/>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3"/>
        <w:spacing w:before="156" w:beforeLines="50" w:beforeAutospacing="0" w:after="0" w:afterAutospacing="0" w:line="280" w:lineRule="atLeast"/>
        <w:rPr>
          <w:rFonts w:hint="eastAsia" w:ascii="楷体" w:hAnsi="楷体" w:eastAsia="楷体"/>
        </w:rPr>
      </w:pPr>
      <w:r>
        <w:rPr>
          <w:rStyle w:val="18"/>
          <w:rFonts w:hint="eastAsia" w:ascii="楷体" w:hAnsi="楷体" w:eastAsia="楷体"/>
          <w:bCs w:val="0"/>
        </w:rPr>
        <w:t>郑重提示：</w:t>
      </w:r>
    </w:p>
    <w:p>
      <w:pPr>
        <w:pStyle w:val="13"/>
        <w:spacing w:before="156" w:beforeLines="50" w:beforeAutospacing="0" w:after="0" w:afterAutospacing="0"/>
        <w:ind w:firstLine="480" w:firstLineChars="200"/>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3"/>
        <w:spacing w:before="156" w:beforeLines="50" w:beforeAutospacing="0" w:after="0" w:afterAutospacing="0"/>
        <w:ind w:firstLine="480" w:firstLineChars="200"/>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sz w:val="24"/>
          <w:szCs w:val="24"/>
        </w:rPr>
        <w:br w:type="page"/>
      </w:r>
      <w:r>
        <w:rPr>
          <w:rFonts w:hint="eastAsia" w:ascii="楷体" w:hAnsi="楷体" w:eastAsia="楷体"/>
          <w:b/>
          <w:sz w:val="36"/>
          <w:szCs w:val="36"/>
        </w:rPr>
        <w:t>“苏银理财</w:t>
      </w:r>
      <w:r>
        <w:rPr>
          <w:rFonts w:hint="eastAsia" w:ascii="楷体" w:hAnsi="楷体" w:eastAsia="楷体"/>
          <w:b/>
          <w:sz w:val="36"/>
          <w:szCs w:val="36"/>
          <w:lang w:eastAsia="zh-CN"/>
        </w:rPr>
        <w:t>恒源季开放2号</w:t>
      </w:r>
      <w:r>
        <w:rPr>
          <w:rFonts w:hint="eastAsia" w:ascii="楷体" w:hAnsi="楷体" w:eastAsia="楷体"/>
          <w:b/>
          <w:sz w:val="36"/>
          <w:szCs w:val="36"/>
        </w:rPr>
        <w:t>”理财产品说明书</w:t>
      </w:r>
    </w:p>
    <w:p>
      <w:pPr>
        <w:jc w:val="center"/>
        <w:outlineLvl w:val="0"/>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outlineLvl w:val="0"/>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2"/>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w:t>
      </w:r>
      <w:r>
        <w:rPr>
          <w:rFonts w:hint="eastAsia" w:ascii="楷体" w:hAnsi="楷体" w:eastAsia="楷体"/>
          <w:b/>
          <w:sz w:val="24"/>
          <w:szCs w:val="24"/>
          <w:u w:val="single"/>
          <w:lang w:val="en-US" w:eastAsia="zh-CN"/>
        </w:rPr>
        <w:t>或者交易违约等事项</w:t>
      </w:r>
      <w:r>
        <w:rPr>
          <w:rFonts w:hint="eastAsia" w:ascii="楷体" w:hAnsi="楷体" w:eastAsia="楷体"/>
          <w:b/>
          <w:sz w:val="24"/>
          <w:szCs w:val="24"/>
          <w:u w:val="single"/>
        </w:rPr>
        <w:t>而蒙受相应损失，投资者应充分认识投资风险，谨慎投资；本理财产品过往业绩不代表其未来表现，不等于理财产品实际收益，投资须谨慎；理财非存款、产品有风险、投资须谨慎。</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w:t>
      </w:r>
      <w:r>
        <w:rPr>
          <w:rFonts w:hint="eastAsia" w:ascii="楷体" w:hAnsi="楷体" w:eastAsia="楷体"/>
          <w:b/>
          <w:sz w:val="24"/>
          <w:szCs w:val="24"/>
          <w:u w:val="single"/>
          <w:lang w:val="en-US" w:eastAsia="zh-CN"/>
        </w:rPr>
        <w:t>为管理人</w:t>
      </w:r>
      <w:r>
        <w:rPr>
          <w:rFonts w:hint="eastAsia" w:ascii="楷体" w:hAnsi="楷体" w:eastAsia="楷体"/>
          <w:b/>
          <w:sz w:val="24"/>
          <w:szCs w:val="24"/>
          <w:u w:val="single"/>
        </w:rPr>
        <w:t>对本产品所设定的投资目标</w:t>
      </w:r>
      <w:r>
        <w:rPr>
          <w:rFonts w:hint="eastAsia" w:ascii="楷体" w:hAnsi="楷体" w:eastAsia="楷体"/>
          <w:b/>
          <w:sz w:val="24"/>
          <w:szCs w:val="24"/>
          <w:u w:val="single"/>
          <w:lang w:eastAsia="zh-CN"/>
        </w:rPr>
        <w:t>，</w:t>
      </w:r>
      <w:r>
        <w:rPr>
          <w:rFonts w:hint="eastAsia" w:ascii="楷体" w:hAnsi="楷体" w:eastAsia="楷体"/>
          <w:b/>
          <w:sz w:val="24"/>
          <w:szCs w:val="24"/>
          <w:u w:val="single"/>
        </w:rPr>
        <w:t>不代表投资者可能获得的实际收益，亦不构成苏银理财有限责任公司（以下简称“苏银理财”）对本理财产品的任何收益承诺。</w:t>
      </w:r>
    </w:p>
    <w:p>
      <w:pPr>
        <w:numPr>
          <w:ilvl w:val="0"/>
          <w:numId w:val="2"/>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2"/>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lang w:eastAsia="zh-CN"/>
        </w:rPr>
        <w:t>）</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恒源季开放2号</w:t>
      </w:r>
      <w:r>
        <w:rPr>
          <w:rFonts w:hint="eastAsia" w:ascii="楷体" w:hAnsi="楷体" w:eastAsia="楷体"/>
          <w:sz w:val="24"/>
          <w:szCs w:val="24"/>
        </w:rPr>
        <w:t>”理财产品风险揭示书》的“风险揭示”部分。</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2"/>
        </w:numPr>
        <w:rPr>
          <w:rFonts w:hint="eastAsia"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lang w:val="en-US" w:eastAsia="zh-CN"/>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bCs/>
          <w:sz w:val="24"/>
          <w:szCs w:val="24"/>
          <w:u w:val="single"/>
        </w:rPr>
        <w:t>。</w:t>
      </w:r>
    </w:p>
    <w:p>
      <w:pPr>
        <w:numPr>
          <w:ilvl w:val="0"/>
          <w:numId w:val="2"/>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2"/>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2"/>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cs="Calibri"/>
          <w:sz w:val="24"/>
          <w:szCs w:val="24"/>
        </w:rPr>
      </w:pPr>
      <w:r>
        <w:rPr>
          <w:rFonts w:hint="eastAsia" w:ascii="楷体" w:hAnsi="楷体" w:eastAsia="楷体" w:cs="Calibri"/>
          <w:sz w:val="24"/>
          <w:szCs w:val="24"/>
        </w:rPr>
        <w:t>为保护投资者合法权益，尊重投资者的知情权和自主选择权，现将本理财产品的基本要素说明如下：</w:t>
      </w:r>
    </w:p>
    <w:tbl>
      <w:tblPr>
        <w:tblStyle w:val="15"/>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1"/>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46"/>
              <w:kinsoku w:val="0"/>
              <w:overflowPunct w:val="0"/>
              <w:spacing w:before="13"/>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恒源季开放2号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40"/>
              <w:ind w:left="55"/>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46"/>
              <w:kinsoku w:val="0"/>
              <w:overflowPunct w:val="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Z7003122000001</w:t>
            </w:r>
          </w:p>
          <w:p>
            <w:pPr>
              <w:pStyle w:val="46"/>
              <w:kinsoku w:val="0"/>
              <w:overflowPunct w:val="0"/>
              <w:ind w:left="59" w:leftChars="0"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278" w:type="dxa"/>
            <w:noWrap w:val="0"/>
            <w:vAlign w:val="center"/>
          </w:tcPr>
          <w:p>
            <w:pPr>
              <w:pStyle w:val="46"/>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46"/>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A份额：苏银理财恒源</w:t>
            </w:r>
            <w:r>
              <w:rPr>
                <w:rFonts w:hint="eastAsia" w:ascii="楷体" w:hAnsi="楷体" w:eastAsia="楷体" w:cs="宋体"/>
                <w:spacing w:val="-2"/>
                <w:sz w:val="21"/>
                <w:szCs w:val="21"/>
                <w:lang w:eastAsia="zh-CN"/>
              </w:rPr>
              <w:t>季开放2号</w:t>
            </w:r>
            <w:r>
              <w:rPr>
                <w:rFonts w:hint="eastAsia" w:ascii="楷体" w:hAnsi="楷体" w:eastAsia="楷体" w:cs="宋体"/>
                <w:spacing w:val="-2"/>
                <w:sz w:val="21"/>
                <w:szCs w:val="21"/>
              </w:rPr>
              <w:t>A/J01183</w:t>
            </w:r>
          </w:p>
          <w:p>
            <w:pPr>
              <w:pStyle w:val="46"/>
              <w:kinsoku w:val="0"/>
              <w:overflowPunct w:val="0"/>
              <w:spacing w:before="12"/>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C份额：苏银理财恒源</w:t>
            </w:r>
            <w:r>
              <w:rPr>
                <w:rFonts w:hint="eastAsia" w:ascii="楷体" w:hAnsi="楷体" w:eastAsia="楷体" w:cs="宋体"/>
                <w:spacing w:val="-2"/>
                <w:sz w:val="21"/>
                <w:szCs w:val="21"/>
                <w:lang w:eastAsia="zh-CN"/>
              </w:rPr>
              <w:t>季开放2号</w:t>
            </w:r>
            <w:r>
              <w:rPr>
                <w:rFonts w:ascii="楷体" w:hAnsi="楷体" w:eastAsia="楷体" w:cs="宋体"/>
                <w:spacing w:val="-2"/>
                <w:sz w:val="21"/>
                <w:szCs w:val="21"/>
              </w:rPr>
              <w:t>C</w:t>
            </w:r>
            <w:r>
              <w:rPr>
                <w:rFonts w:hint="eastAsia" w:ascii="楷体" w:hAnsi="楷体" w:eastAsia="楷体" w:cs="宋体"/>
                <w:spacing w:val="-2"/>
                <w:sz w:val="21"/>
                <w:szCs w:val="21"/>
              </w:rPr>
              <w:t>/J01245</w:t>
            </w:r>
          </w:p>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D份额：苏银理财恒源</w:t>
            </w:r>
            <w:r>
              <w:rPr>
                <w:rFonts w:hint="eastAsia" w:ascii="楷体" w:hAnsi="楷体" w:eastAsia="楷体" w:cs="宋体"/>
                <w:spacing w:val="-2"/>
                <w:sz w:val="21"/>
                <w:szCs w:val="21"/>
                <w:lang w:eastAsia="zh-CN"/>
              </w:rPr>
              <w:t>季开放2号</w:t>
            </w:r>
            <w:r>
              <w:rPr>
                <w:rFonts w:ascii="楷体" w:hAnsi="楷体" w:eastAsia="楷体" w:cs="宋体"/>
                <w:spacing w:val="-2"/>
                <w:sz w:val="21"/>
                <w:szCs w:val="21"/>
              </w:rPr>
              <w:t>D</w:t>
            </w:r>
            <w:r>
              <w:rPr>
                <w:rFonts w:hint="eastAsia" w:ascii="楷体" w:hAnsi="楷体" w:eastAsia="楷体" w:cs="宋体"/>
                <w:spacing w:val="-2"/>
                <w:sz w:val="21"/>
                <w:szCs w:val="21"/>
              </w:rPr>
              <w:t>/J01246</w:t>
            </w:r>
          </w:p>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E</w:t>
            </w:r>
            <w:r>
              <w:rPr>
                <w:rFonts w:hint="eastAsia" w:ascii="楷体" w:hAnsi="楷体" w:eastAsia="楷体" w:cs="宋体"/>
                <w:spacing w:val="-2"/>
                <w:sz w:val="21"/>
                <w:szCs w:val="21"/>
              </w:rPr>
              <w:t>份额：苏银理财恒源</w:t>
            </w:r>
            <w:r>
              <w:rPr>
                <w:rFonts w:hint="eastAsia" w:ascii="楷体" w:hAnsi="楷体" w:eastAsia="楷体" w:cs="宋体"/>
                <w:spacing w:val="-2"/>
                <w:sz w:val="21"/>
                <w:szCs w:val="21"/>
                <w:lang w:eastAsia="zh-CN"/>
              </w:rPr>
              <w:t>季开放2号</w:t>
            </w:r>
            <w:r>
              <w:rPr>
                <w:rFonts w:hint="eastAsia" w:ascii="楷体" w:hAnsi="楷体" w:eastAsia="楷体" w:cs="宋体"/>
                <w:spacing w:val="-2"/>
                <w:sz w:val="21"/>
                <w:szCs w:val="21"/>
                <w:lang w:val="en-US" w:eastAsia="zh-CN"/>
              </w:rPr>
              <w:t>E</w:t>
            </w:r>
            <w:r>
              <w:rPr>
                <w:rFonts w:hint="eastAsia" w:ascii="楷体" w:hAnsi="楷体" w:eastAsia="楷体" w:cs="宋体"/>
                <w:spacing w:val="-2"/>
                <w:sz w:val="21"/>
                <w:szCs w:val="21"/>
              </w:rPr>
              <w:t>/J02662</w:t>
            </w:r>
          </w:p>
          <w:p>
            <w:pPr>
              <w:pStyle w:val="46"/>
              <w:kinsoku w:val="0"/>
              <w:overflowPunct w:val="0"/>
              <w:spacing w:before="12"/>
              <w:ind w:left="59" w:leftChars="0"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季开放2号</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/J02054</w:t>
            </w:r>
          </w:p>
          <w:p>
            <w:pPr>
              <w:pStyle w:val="46"/>
              <w:kinsoku w:val="0"/>
              <w:overflowPunct w:val="0"/>
              <w:spacing w:before="12"/>
              <w:ind w:left="59" w:leftChars="0"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W份额：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季开放2号</w:t>
            </w:r>
            <w:r>
              <w:rPr>
                <w:rFonts w:hint="eastAsia" w:ascii="楷体" w:hAnsi="楷体" w:eastAsia="楷体" w:cs="宋体"/>
                <w:spacing w:val="-2"/>
                <w:sz w:val="21"/>
                <w:szCs w:val="21"/>
                <w:lang w:val="en-US" w:eastAsia="zh-CN"/>
              </w:rPr>
              <w:t>W</w:t>
            </w:r>
            <w:r>
              <w:rPr>
                <w:rFonts w:hint="eastAsia" w:ascii="楷体" w:hAnsi="楷体" w:eastAsia="楷体" w:cs="宋体"/>
                <w:spacing w:val="-2"/>
                <w:sz w:val="21"/>
                <w:szCs w:val="21"/>
              </w:rPr>
              <w:t>/J0282</w:t>
            </w:r>
            <w:r>
              <w:rPr>
                <w:rFonts w:hint="eastAsia" w:ascii="楷体" w:hAnsi="楷体" w:eastAsia="楷体" w:cs="宋体"/>
                <w:spacing w:val="-2"/>
                <w:sz w:val="21"/>
                <w:szCs w:val="21"/>
                <w:lang w:val="en-US" w:eastAsia="zh-CN"/>
              </w:rPr>
              <w:t>8</w:t>
            </w:r>
          </w:p>
          <w:p>
            <w:pPr>
              <w:pStyle w:val="46"/>
              <w:kinsoku w:val="0"/>
              <w:overflowPunct w:val="0"/>
              <w:spacing w:before="12"/>
              <w:ind w:left="59" w:leftChars="0"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S份额：</w:t>
            </w: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季开放</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S</w:t>
            </w:r>
            <w:r>
              <w:rPr>
                <w:rFonts w:hint="eastAsia" w:ascii="楷体" w:hAnsi="楷体" w:eastAsia="楷体" w:cs="宋体"/>
                <w:spacing w:val="-2"/>
                <w:sz w:val="21"/>
                <w:szCs w:val="21"/>
              </w:rPr>
              <w:t>/J036</w:t>
            </w:r>
            <w:r>
              <w:rPr>
                <w:rFonts w:hint="eastAsia" w:ascii="楷体" w:hAnsi="楷体" w:eastAsia="楷体" w:cs="宋体"/>
                <w:spacing w:val="-2"/>
                <w:sz w:val="21"/>
                <w:szCs w:val="21"/>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46"/>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46"/>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江苏银行股份有限公司，详见下文“十四、产品托管人”。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46"/>
              <w:kinsoku w:val="0"/>
              <w:overflowPunct w:val="0"/>
              <w:spacing w:before="13"/>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insoku w:val="0"/>
              <w:overflowPunct w:val="0"/>
              <w:autoSpaceDE w:val="0"/>
              <w:autoSpaceDN w:val="0"/>
              <w:adjustRightInd w:val="0"/>
              <w:spacing w:before="13"/>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kinsoku w:val="0"/>
              <w:overflowPunct w:val="0"/>
              <w:autoSpaceDE w:val="0"/>
              <w:autoSpaceDN w:val="0"/>
              <w:adjustRightInd w:val="0"/>
              <w:spacing w:before="13"/>
              <w:ind w:left="59" w:right="73" w:rightChars="35"/>
              <w:rPr>
                <w:rFonts w:hint="eastAsia" w:ascii="楷体" w:hAnsi="楷体" w:eastAsia="楷体" w:cs="宋体"/>
                <w:spacing w:val="-2"/>
                <w:kern w:val="0"/>
                <w:szCs w:val="21"/>
              </w:rPr>
            </w:pPr>
            <w:r>
              <w:rPr>
                <w:rFonts w:hint="eastAsia" w:ascii="楷体" w:hAnsi="楷体" w:eastAsia="楷体" w:cs="宋体"/>
                <w:b/>
                <w:spacing w:val="-2"/>
                <w:kern w:val="0"/>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kern w:val="0"/>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kern w:val="0"/>
                <w:szCs w:val="21"/>
              </w:rPr>
              <w:t>销售评级与</w:t>
            </w:r>
            <w:r>
              <w:rPr>
                <w:rFonts w:hint="eastAsia" w:ascii="楷体" w:hAnsi="楷体" w:eastAsia="楷体" w:cs="宋体"/>
                <w:spacing w:val="-2"/>
                <w:kern w:val="0"/>
                <w:szCs w:val="21"/>
              </w:rPr>
              <w:t>苏银理财</w:t>
            </w:r>
            <w:r>
              <w:rPr>
                <w:rFonts w:ascii="楷体" w:hAnsi="楷体" w:eastAsia="楷体" w:cs="宋体"/>
                <w:spacing w:val="-2"/>
                <w:kern w:val="0"/>
                <w:szCs w:val="21"/>
              </w:rPr>
              <w:t>产品评级结果不一致的，代理销售机构应当采用对应较高风险等级的评级结果并予以披露</w:t>
            </w:r>
            <w:r>
              <w:rPr>
                <w:rFonts w:hint="eastAsia" w:ascii="楷体" w:hAnsi="楷体" w:eastAsia="楷体" w:cs="宋体"/>
                <w:spacing w:val="-2"/>
                <w:kern w:val="0"/>
                <w:szCs w:val="21"/>
              </w:rPr>
              <w:t>。</w:t>
            </w:r>
          </w:p>
          <w:p>
            <w:pPr>
              <w:pStyle w:val="46"/>
              <w:kinsoku w:val="0"/>
              <w:overflowPunct w:val="0"/>
              <w:spacing w:before="13"/>
              <w:ind w:left="59" w:right="73" w:rightChars="35"/>
              <w:jc w:val="both"/>
              <w:rPr>
                <w:rFonts w:ascii="楷体" w:hAnsi="楷体" w:eastAsia="楷体" w:cs="宋体"/>
                <w:spacing w:val="-2"/>
                <w:sz w:val="21"/>
                <w:szCs w:val="21"/>
              </w:rPr>
            </w:pPr>
            <w:r>
              <w:rPr>
                <w:rFonts w:hint="eastAsia" w:ascii="楷体" w:hAnsi="楷体" w:eastAsia="楷体" w:cs="宋体"/>
                <w:b/>
                <w:spacing w:val="-2"/>
                <w:kern w:val="2"/>
                <w:sz w:val="21"/>
                <w:szCs w:val="21"/>
                <w:u w:val="single"/>
              </w:rPr>
              <w:t>3</w:t>
            </w:r>
            <w:r>
              <w:rPr>
                <w:rFonts w:hint="eastAsia" w:ascii="楷体" w:hAnsi="楷体" w:eastAsia="楷体" w:cs="宋体"/>
                <w:b/>
                <w:spacing w:val="-2"/>
                <w:kern w:val="2"/>
                <w:sz w:val="21"/>
                <w:szCs w:val="21"/>
                <w:highlight w:val="none"/>
                <w:u w:val="single"/>
              </w:rPr>
              <w:t>、</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46"/>
              <w:kinsoku w:val="0"/>
              <w:overflowPunct w:val="0"/>
              <w:spacing w:before="12"/>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46"/>
              <w:kinsoku w:val="0"/>
              <w:overflowPunct w:val="0"/>
              <w:spacing w:before="12"/>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3"/>
              <w:ind w:left="55"/>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46"/>
              <w:kinsoku w:val="0"/>
              <w:overflowPunct w:val="0"/>
              <w:spacing w:before="12"/>
              <w:ind w:left="59" w:right="88" w:rightChars="42"/>
              <w:jc w:val="both"/>
              <w:rPr>
                <w:rFonts w:hint="eastAsia" w:ascii="楷体" w:hAnsi="楷体" w:eastAsia="楷体" w:cs="宋体"/>
                <w:spacing w:val="-2"/>
                <w:sz w:val="21"/>
                <w:szCs w:val="21"/>
              </w:rPr>
            </w:pPr>
            <w:r>
              <w:rPr>
                <w:rFonts w:hint="eastAsia" w:ascii="楷体" w:hAnsi="楷体" w:eastAsia="楷体" w:cs="宋体"/>
                <w:spacing w:val="-2"/>
                <w:sz w:val="21"/>
                <w:szCs w:val="21"/>
              </w:rPr>
              <w:t>A份额面向个人和机构投资者销售。</w:t>
            </w:r>
          </w:p>
          <w:p>
            <w:pPr>
              <w:pStyle w:val="46"/>
              <w:kinsoku w:val="0"/>
              <w:overflowPunct w:val="0"/>
              <w:spacing w:before="12"/>
              <w:ind w:left="59" w:right="88" w:rightChars="42"/>
              <w:jc w:val="both"/>
              <w:rPr>
                <w:rFonts w:hint="eastAsia" w:ascii="楷体" w:hAnsi="楷体" w:eastAsia="楷体" w:cs="宋体"/>
                <w:spacing w:val="-2"/>
                <w:sz w:val="21"/>
                <w:szCs w:val="21"/>
              </w:rPr>
            </w:pPr>
            <w:r>
              <w:rPr>
                <w:rFonts w:ascii="楷体" w:hAnsi="楷体" w:eastAsia="楷体" w:cs="宋体"/>
                <w:spacing w:val="-2"/>
                <w:sz w:val="21"/>
                <w:szCs w:val="21"/>
                <w:highlight w:val="none"/>
              </w:rPr>
              <w:t>C</w:t>
            </w:r>
            <w:r>
              <w:rPr>
                <w:rFonts w:hint="eastAsia" w:ascii="楷体" w:hAnsi="楷体" w:eastAsia="楷体" w:cs="宋体"/>
                <w:spacing w:val="-2"/>
                <w:sz w:val="21"/>
                <w:szCs w:val="21"/>
                <w:highlight w:val="none"/>
              </w:rPr>
              <w:t>份额面向</w:t>
            </w:r>
            <w:r>
              <w:rPr>
                <w:rFonts w:hint="eastAsia" w:ascii="楷体" w:hAnsi="楷体" w:eastAsia="楷体" w:cs="宋体"/>
                <w:spacing w:val="-2"/>
                <w:sz w:val="21"/>
                <w:szCs w:val="21"/>
              </w:rPr>
              <w:t>个人和机构投资者销售</w:t>
            </w:r>
            <w:r>
              <w:rPr>
                <w:rFonts w:hint="eastAsia" w:ascii="楷体" w:hAnsi="楷体" w:eastAsia="楷体" w:cs="宋体"/>
                <w:spacing w:val="-2"/>
                <w:sz w:val="21"/>
                <w:szCs w:val="21"/>
                <w:highlight w:val="none"/>
              </w:rPr>
              <w:t>（</w:t>
            </w:r>
            <w:r>
              <w:rPr>
                <w:rFonts w:hint="eastAsia" w:ascii="楷体" w:hAnsi="楷体" w:eastAsia="楷体" w:cs="宋体"/>
                <w:spacing w:val="-2"/>
                <w:sz w:val="21"/>
                <w:szCs w:val="21"/>
                <w:highlight w:val="none"/>
                <w:lang w:val="en-US" w:eastAsia="zh-CN"/>
              </w:rPr>
              <w:t>销售机构江苏银行个人投资者仅限新资金客户及新客户，新资金的达标条件为“客户前一日资产时点余额”较“前一月末资产月日均余额”的新增额大于5万元；新客户是指首次购买苏银理财理财产品的客户</w:t>
            </w:r>
            <w:r>
              <w:rPr>
                <w:rFonts w:hint="eastAsia" w:ascii="楷体" w:hAnsi="楷体" w:eastAsia="楷体" w:cs="宋体"/>
                <w:spacing w:val="-2"/>
                <w:sz w:val="21"/>
                <w:szCs w:val="21"/>
                <w:highlight w:val="none"/>
              </w:rPr>
              <w:t>）。</w:t>
            </w:r>
          </w:p>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D份额面向</w:t>
            </w:r>
            <w:r>
              <w:rPr>
                <w:rFonts w:hint="eastAsia" w:ascii="楷体" w:hAnsi="楷体" w:eastAsia="楷体" w:cs="宋体"/>
                <w:spacing w:val="-2"/>
                <w:sz w:val="21"/>
                <w:szCs w:val="21"/>
                <w:lang w:val="en-US" w:eastAsia="zh-CN"/>
              </w:rPr>
              <w:t>个人和机构投资者销售</w:t>
            </w:r>
            <w:r>
              <w:rPr>
                <w:rFonts w:hint="eastAsia" w:ascii="楷体" w:hAnsi="楷体" w:eastAsia="楷体" w:cs="宋体"/>
                <w:spacing w:val="-2"/>
                <w:sz w:val="21"/>
                <w:szCs w:val="21"/>
              </w:rPr>
              <w:t>（销售机构江苏银行个人投资者仅限财富客户购买，江苏银行财富客户指在江苏银行日均资产大于等于200万元的个人客户；机构投资者具体以销售机构设置为准）。</w:t>
            </w:r>
          </w:p>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E</w:t>
            </w:r>
            <w:r>
              <w:rPr>
                <w:rFonts w:hint="eastAsia" w:ascii="楷体" w:hAnsi="楷体" w:eastAsia="楷体" w:cs="宋体"/>
                <w:spacing w:val="-2"/>
                <w:sz w:val="21"/>
                <w:szCs w:val="21"/>
              </w:rPr>
              <w:t>份额面向</w:t>
            </w:r>
            <w:r>
              <w:rPr>
                <w:rFonts w:hint="eastAsia" w:ascii="楷体" w:hAnsi="楷体" w:eastAsia="楷体" w:cs="宋体"/>
                <w:spacing w:val="-2"/>
                <w:sz w:val="21"/>
                <w:szCs w:val="21"/>
                <w:highlight w:val="none"/>
              </w:rPr>
              <w:t>个人</w:t>
            </w:r>
            <w:r>
              <w:rPr>
                <w:rFonts w:hint="eastAsia" w:ascii="楷体" w:hAnsi="楷体" w:eastAsia="楷体" w:cs="宋体"/>
                <w:spacing w:val="-2"/>
                <w:sz w:val="21"/>
                <w:szCs w:val="21"/>
                <w:highlight w:val="none"/>
                <w:lang w:val="en-US" w:eastAsia="zh-CN"/>
              </w:rPr>
              <w:t>和机构</w:t>
            </w:r>
            <w:r>
              <w:rPr>
                <w:rFonts w:hint="eastAsia" w:ascii="楷体" w:hAnsi="楷体" w:eastAsia="楷体" w:cs="宋体"/>
                <w:spacing w:val="-2"/>
                <w:sz w:val="21"/>
                <w:szCs w:val="21"/>
                <w:highlight w:val="none"/>
              </w:rPr>
              <w:t>投资者销售</w:t>
            </w:r>
            <w:r>
              <w:rPr>
                <w:rFonts w:hint="eastAsia" w:ascii="楷体" w:hAnsi="楷体" w:eastAsia="楷体" w:cs="宋体"/>
                <w:spacing w:val="-2"/>
                <w:sz w:val="21"/>
                <w:szCs w:val="21"/>
              </w:rPr>
              <w:t>（销售机构江苏银行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rPr>
              <w:t>仅限私行客户购买</w:t>
            </w:r>
            <w:r>
              <w:rPr>
                <w:rFonts w:hint="eastAsia" w:ascii="楷体" w:hAnsi="楷体" w:eastAsia="楷体" w:cs="宋体"/>
                <w:spacing w:val="-2"/>
                <w:sz w:val="21"/>
                <w:szCs w:val="21"/>
                <w:highlight w:val="none"/>
                <w:lang w:val="en-US" w:eastAsia="zh-CN"/>
              </w:rPr>
              <w:t>。</w:t>
            </w:r>
            <w:r>
              <w:rPr>
                <w:rFonts w:hint="eastAsia" w:ascii="楷体" w:hAnsi="楷体" w:eastAsia="楷体" w:cs="宋体"/>
                <w:spacing w:val="-2"/>
                <w:sz w:val="21"/>
                <w:szCs w:val="21"/>
              </w:rPr>
              <w:t>江苏银行私行客户指在江苏银行日均资产大于等于600万元的个人客户）。</w:t>
            </w:r>
          </w:p>
          <w:p>
            <w:pPr>
              <w:pStyle w:val="46"/>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F份额面向个人和机构投资者销售。</w:t>
            </w:r>
          </w:p>
          <w:p>
            <w:pPr>
              <w:pStyle w:val="46"/>
              <w:kinsoku w:val="0"/>
              <w:overflowPunct w:val="0"/>
              <w:spacing w:before="12"/>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W份额面向个人和机构投资者销售。</w:t>
            </w:r>
          </w:p>
          <w:p>
            <w:pPr>
              <w:pStyle w:val="46"/>
              <w:kinsoku w:val="0"/>
              <w:overflowPunct w:val="0"/>
              <w:spacing w:before="12"/>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S份额面向个人和机构投资者销售</w:t>
            </w:r>
            <w:r>
              <w:rPr>
                <w:rFonts w:hint="eastAsia" w:ascii="楷体" w:hAnsi="楷体" w:eastAsia="楷体" w:cs="宋体"/>
                <w:spacing w:val="-2"/>
                <w:sz w:val="21"/>
                <w:szCs w:val="21"/>
              </w:rPr>
              <w:t>（销售机构</w:t>
            </w:r>
            <w:r>
              <w:rPr>
                <w:rFonts w:hint="eastAsia" w:ascii="楷体" w:hAnsi="楷体" w:eastAsia="楷体" w:cs="宋体"/>
                <w:spacing w:val="-2"/>
                <w:sz w:val="21"/>
                <w:szCs w:val="21"/>
                <w:lang w:val="en-US" w:eastAsia="zh-CN"/>
              </w:rPr>
              <w:t>深圳农商</w:t>
            </w:r>
            <w:r>
              <w:rPr>
                <w:rFonts w:hint="eastAsia" w:ascii="楷体" w:hAnsi="楷体" w:eastAsia="楷体" w:cs="宋体"/>
                <w:spacing w:val="-2"/>
                <w:sz w:val="21"/>
                <w:szCs w:val="21"/>
              </w:rPr>
              <w:t>行仅限社区及私行专属客户购买，</w:t>
            </w:r>
            <w:r>
              <w:rPr>
                <w:rFonts w:hint="eastAsia" w:ascii="楷体" w:hAnsi="楷体" w:eastAsia="楷体" w:cs="宋体"/>
                <w:spacing w:val="-2"/>
                <w:sz w:val="21"/>
                <w:szCs w:val="21"/>
                <w:lang w:val="en-US" w:eastAsia="zh-CN"/>
              </w:rPr>
              <w:t>具体</w:t>
            </w:r>
            <w:r>
              <w:rPr>
                <w:rFonts w:hint="eastAsia" w:ascii="楷体" w:hAnsi="楷体" w:eastAsia="楷体" w:cs="宋体"/>
                <w:spacing w:val="-2"/>
                <w:sz w:val="21"/>
                <w:szCs w:val="21"/>
                <w:highlight w:val="none"/>
                <w:lang w:val="en-US" w:eastAsia="zh-CN"/>
              </w:rPr>
              <w:t>以销售机构设置为准</w:t>
            </w:r>
            <w:r>
              <w:rPr>
                <w:rFonts w:hint="eastAsia" w:ascii="楷体" w:hAnsi="楷体" w:eastAsia="楷体" w:cs="宋体"/>
                <w:spacing w:val="-2"/>
                <w:sz w:val="21"/>
                <w:szCs w:val="21"/>
              </w:rPr>
              <w:t>）</w:t>
            </w:r>
            <w:r>
              <w:rPr>
                <w:rFonts w:hint="eastAsia" w:ascii="楷体" w:hAnsi="楷体" w:eastAsia="楷体" w:cs="宋体"/>
                <w:spacing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4"/>
              <w:ind w:left="55"/>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46"/>
              <w:kinsoku w:val="0"/>
              <w:overflowPunct w:val="0"/>
              <w:spacing w:before="14"/>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46"/>
              <w:kinsoku w:val="0"/>
              <w:overflowPunct w:val="0"/>
              <w:spacing w:before="14"/>
              <w:ind w:left="59" w:right="73" w:rightChars="35"/>
              <w:jc w:val="both"/>
              <w:rPr>
                <w:rFonts w:hint="eastAsia" w:ascii="楷体" w:hAnsi="楷体" w:eastAsia="楷体" w:cs="宋体"/>
                <w:b/>
                <w:spacing w:val="-2"/>
                <w:sz w:val="21"/>
                <w:szCs w:val="21"/>
              </w:rPr>
            </w:pPr>
            <w:r>
              <w:rPr>
                <w:rFonts w:ascii="楷体" w:hAnsi="楷体" w:eastAsia="楷体" w:cs="宋体"/>
                <w:spacing w:val="-2"/>
                <w:sz w:val="21"/>
                <w:szCs w:val="21"/>
              </w:rPr>
              <w:t>3</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首期计划发行规模</w:t>
            </w:r>
            <w:r>
              <w:rPr>
                <w:rFonts w:hint="eastAsia" w:ascii="楷体" w:hAnsi="楷体" w:eastAsia="楷体" w:cs="宋体"/>
                <w:spacing w:val="-2"/>
                <w:szCs w:val="21"/>
                <w:lang w:val="en-US" w:eastAsia="zh-CN"/>
              </w:rPr>
              <w:t>10</w:t>
            </w:r>
            <w:r>
              <w:rPr>
                <w:rFonts w:hint="eastAsia" w:ascii="楷体" w:hAnsi="楷体" w:eastAsia="楷体" w:cs="宋体"/>
                <w:spacing w:val="-2"/>
                <w:szCs w:val="21"/>
              </w:rPr>
              <w:t>亿元</w:t>
            </w:r>
            <w:r>
              <w:rPr>
                <w:rFonts w:hint="eastAsia" w:ascii="楷体" w:hAnsi="楷体" w:eastAsia="楷体" w:cs="宋体"/>
                <w:spacing w:val="-2"/>
                <w:szCs w:val="21"/>
                <w:lang w:eastAsia="zh-CN"/>
              </w:rPr>
              <w:t>。</w:t>
            </w:r>
            <w:r>
              <w:rPr>
                <w:rFonts w:hint="eastAsia" w:ascii="楷体" w:hAnsi="楷体" w:eastAsia="楷体" w:cs="宋体"/>
                <w:spacing w:val="-2"/>
                <w:szCs w:val="21"/>
              </w:rPr>
              <w:t>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ascii="楷体" w:hAnsi="楷体" w:eastAsia="楷体"/>
                <w:szCs w:val="21"/>
              </w:rPr>
            </w:pPr>
            <w:r>
              <w:rPr>
                <w:rFonts w:hint="eastAsia" w:ascii="楷体" w:hAnsi="楷体" w:eastAsia="楷体" w:cs="宋体"/>
                <w:spacing w:val="-2"/>
                <w:szCs w:val="21"/>
              </w:rPr>
              <w:t>C份额认购起点</w:t>
            </w:r>
            <w:r>
              <w:rPr>
                <w:rFonts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cs="宋体"/>
                <w:spacing w:val="-2"/>
                <w:szCs w:val="21"/>
              </w:rPr>
              <w:t>D份额个人投资者认购起点50万元，追加金额为1万元的整数倍；机构投资者认购起点5000万元，追加金额为1万元的整数倍</w:t>
            </w:r>
            <w:r>
              <w:rPr>
                <w:rFonts w:hint="eastAsia" w:ascii="楷体" w:hAnsi="楷体" w:eastAsia="楷体"/>
                <w:szCs w:val="21"/>
              </w:rPr>
              <w:t>。</w:t>
            </w:r>
          </w:p>
          <w:p>
            <w:pPr>
              <w:ind w:left="59" w:right="73" w:rightChars="35"/>
              <w:rPr>
                <w:rFonts w:hint="eastAsia" w:ascii="楷体" w:hAnsi="楷体" w:eastAsia="楷体"/>
                <w:szCs w:val="21"/>
              </w:rPr>
            </w:pPr>
            <w:r>
              <w:rPr>
                <w:rFonts w:hint="eastAsia" w:ascii="楷体" w:hAnsi="楷体" w:eastAsia="楷体" w:cs="宋体"/>
                <w:spacing w:val="-2"/>
                <w:szCs w:val="21"/>
                <w:lang w:val="en-US" w:eastAsia="zh-CN"/>
              </w:rPr>
              <w:t>E</w:t>
            </w:r>
            <w:r>
              <w:rPr>
                <w:rFonts w:hint="eastAsia" w:ascii="楷体" w:hAnsi="楷体" w:eastAsia="楷体" w:cs="宋体"/>
                <w:spacing w:val="-2"/>
                <w:szCs w:val="21"/>
              </w:rPr>
              <w:t>份额认购起点</w:t>
            </w:r>
            <w:r>
              <w:rPr>
                <w:rFonts w:hint="eastAsia" w:ascii="楷体" w:hAnsi="楷体" w:eastAsia="楷体" w:cs="宋体"/>
                <w:spacing w:val="-2"/>
                <w:szCs w:val="21"/>
                <w:lang w:val="en-US" w:eastAsia="zh-CN"/>
              </w:rPr>
              <w:t>100</w:t>
            </w:r>
            <w:r>
              <w:rPr>
                <w:rFonts w:hint="eastAsia" w:ascii="楷体" w:hAnsi="楷体" w:eastAsia="楷体" w:cs="宋体"/>
                <w:spacing w:val="-2"/>
                <w:szCs w:val="21"/>
              </w:rPr>
              <w:t>万元，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szCs w:val="21"/>
              </w:rPr>
              <w:t>元的整数倍。</w:t>
            </w:r>
          </w:p>
          <w:p>
            <w:pPr>
              <w:ind w:left="59" w:right="73" w:rightChars="35"/>
              <w:rPr>
                <w:rFonts w:hint="eastAsia" w:ascii="楷体" w:hAnsi="楷体" w:eastAsia="楷体"/>
                <w:szCs w:val="21"/>
              </w:rPr>
            </w:pPr>
            <w:r>
              <w:rPr>
                <w:rFonts w:hint="eastAsia" w:ascii="楷体" w:hAnsi="楷体" w:eastAsia="楷体"/>
                <w:szCs w:val="21"/>
                <w:lang w:val="en-US" w:eastAsia="zh-CN"/>
              </w:rPr>
              <w:t>F份额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right="73" w:rightChars="35"/>
              <w:rPr>
                <w:rFonts w:hint="eastAsia" w:ascii="楷体" w:hAnsi="楷体" w:eastAsia="楷体"/>
                <w:szCs w:val="21"/>
                <w:lang w:eastAsia="zh-CN"/>
              </w:rPr>
            </w:pPr>
            <w:r>
              <w:rPr>
                <w:rFonts w:hint="eastAsia" w:ascii="楷体" w:hAnsi="楷体" w:eastAsia="楷体"/>
                <w:szCs w:val="21"/>
                <w:lang w:val="en-US" w:eastAsia="zh-CN"/>
              </w:rPr>
              <w:t>W份额</w:t>
            </w:r>
            <w:r>
              <w:rPr>
                <w:rFonts w:hint="eastAsia" w:ascii="楷体" w:hAnsi="楷体" w:eastAsia="楷体" w:cs="宋体"/>
                <w:spacing w:val="-2"/>
                <w:szCs w:val="21"/>
              </w:rPr>
              <w:t>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r>
              <w:rPr>
                <w:rFonts w:hint="eastAsia" w:ascii="楷体" w:hAnsi="楷体" w:eastAsia="楷体"/>
                <w:szCs w:val="21"/>
                <w:lang w:eastAsia="zh-CN"/>
              </w:rPr>
              <w:t>。</w:t>
            </w:r>
          </w:p>
          <w:p>
            <w:pPr>
              <w:ind w:left="59" w:right="73" w:rightChars="35"/>
              <w:rPr>
                <w:rFonts w:hint="eastAsia" w:ascii="楷体" w:hAnsi="楷体" w:eastAsia="楷体"/>
                <w:szCs w:val="21"/>
              </w:rPr>
            </w:pPr>
            <w:r>
              <w:rPr>
                <w:rFonts w:hint="eastAsia" w:ascii="楷体" w:hAnsi="楷体" w:eastAsia="楷体" w:cs="宋体"/>
                <w:spacing w:val="-2"/>
                <w:szCs w:val="21"/>
                <w:lang w:val="en-US" w:eastAsia="zh-CN"/>
              </w:rPr>
              <w:t>S</w:t>
            </w:r>
            <w:r>
              <w:rPr>
                <w:rFonts w:hint="eastAsia" w:ascii="楷体" w:hAnsi="楷体" w:eastAsia="楷体" w:cs="宋体"/>
                <w:spacing w:val="-2"/>
                <w:szCs w:val="21"/>
              </w:rPr>
              <w:t>份额认购起点</w:t>
            </w:r>
            <w:r>
              <w:rPr>
                <w:rFonts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szCs w:val="21"/>
              </w:rPr>
              <w:t>追加金额为</w:t>
            </w:r>
            <w:r>
              <w:rPr>
                <w:rFonts w:ascii="楷体" w:hAnsi="楷体" w:eastAsia="楷体" w:cs="宋体"/>
                <w:spacing w:val="-2"/>
                <w:szCs w:val="21"/>
              </w:rPr>
              <w:t>1</w:t>
            </w:r>
            <w:r>
              <w:rPr>
                <w:rFonts w:hint="eastAsia" w:ascii="楷体" w:hAnsi="楷体" w:eastAsia="楷体"/>
                <w:szCs w:val="21"/>
              </w:rPr>
              <w:t>元的整数倍。</w:t>
            </w:r>
          </w:p>
          <w:p>
            <w:pPr>
              <w:ind w:left="59" w:leftChars="0" w:right="73" w:rightChars="35"/>
              <w:rPr>
                <w:rFonts w:hint="eastAsia" w:ascii="楷体" w:hAnsi="楷体" w:eastAsia="楷体" w:cs="宋体"/>
                <w:spacing w:val="-2"/>
                <w:szCs w:val="21"/>
              </w:rPr>
            </w:pPr>
            <w:r>
              <w:rPr>
                <w:rFonts w:hint="eastAsia" w:ascii="楷体" w:hAnsi="楷体" w:eastAsia="楷体"/>
                <w:szCs w:val="21"/>
              </w:rPr>
              <w:t>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3"/>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份额面值</w:t>
            </w:r>
          </w:p>
        </w:tc>
        <w:tc>
          <w:tcPr>
            <w:tcW w:w="6614" w:type="dxa"/>
            <w:noWrap w:val="0"/>
            <w:vAlign w:val="center"/>
          </w:tcPr>
          <w:p>
            <w:pPr>
              <w:pStyle w:val="46"/>
              <w:kinsoku w:val="0"/>
              <w:overflowPunct w:val="0"/>
              <w:spacing w:before="12"/>
              <w:ind w:left="59" w:leftChars="0" w:right="73" w:rightChars="35"/>
              <w:jc w:val="both"/>
              <w:rPr>
                <w:rFonts w:hint="eastAsia" w:ascii="楷体" w:hAnsi="楷体" w:eastAsia="楷体"/>
                <w:szCs w:val="21"/>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3"/>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2022年1月13日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2022年1月20日</w:t>
            </w:r>
            <w:r>
              <w:rPr>
                <w:rFonts w:hint="eastAsia" w:ascii="楷体" w:hAnsi="楷体" w:eastAsia="楷体" w:cs="宋体"/>
                <w:spacing w:val="-2"/>
                <w:sz w:val="21"/>
                <w:szCs w:val="21"/>
              </w:rPr>
              <w:t>17:00</w:t>
            </w:r>
          </w:p>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614" w:type="dxa"/>
            <w:noWrap w:val="0"/>
            <w:vAlign w:val="center"/>
          </w:tcPr>
          <w:p>
            <w:pPr>
              <w:pStyle w:val="46"/>
              <w:kinsoku w:val="0"/>
              <w:overflowPunct w:val="0"/>
              <w:spacing w:before="12"/>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2022年1月21日</w:t>
            </w:r>
          </w:p>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ascii="楷体" w:hAnsi="楷体" w:eastAsia="楷体" w:cs="宋体"/>
                <w:spacing w:val="-2"/>
                <w:sz w:val="21"/>
                <w:szCs w:val="21"/>
              </w:rPr>
              <w:t>000</w:t>
            </w:r>
            <w:r>
              <w:rPr>
                <w:rFonts w:hint="eastAsia" w:ascii="楷体" w:hAnsi="楷体" w:eastAsia="楷体" w:cs="宋体"/>
                <w:spacing w:val="-2"/>
                <w:sz w:val="21"/>
                <w:szCs w:val="21"/>
              </w:rPr>
              <w:t>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46"/>
              <w:kinsoku w:val="0"/>
              <w:overflowPunct w:val="0"/>
              <w:spacing w:before="12"/>
              <w:ind w:left="59" w:right="73" w:rightChars="35"/>
              <w:jc w:val="both"/>
              <w:rPr>
                <w:rFonts w:hint="eastAsia" w:ascii="楷体" w:hAnsi="楷体" w:eastAsia="楷体" w:cs="宋体"/>
                <w:spacing w:val="-2"/>
                <w:sz w:val="21"/>
                <w:szCs w:val="21"/>
              </w:rPr>
            </w:pPr>
            <w:r>
              <w:rPr>
                <w:rFonts w:ascii="楷体" w:hAnsi="楷体" w:eastAsia="楷体" w:cs="宋体"/>
                <w:spacing w:val="-2"/>
                <w:sz w:val="21"/>
                <w:szCs w:val="21"/>
              </w:rPr>
              <w:t>20</w:t>
            </w:r>
            <w:r>
              <w:rPr>
                <w:rFonts w:hint="eastAsia" w:ascii="楷体" w:hAnsi="楷体" w:eastAsia="楷体" w:cs="宋体"/>
                <w:spacing w:val="-2"/>
                <w:sz w:val="21"/>
                <w:szCs w:val="21"/>
              </w:rPr>
              <w:t>32年</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29</w:t>
            </w:r>
            <w:r>
              <w:rPr>
                <w:rFonts w:hint="eastAsia" w:ascii="楷体" w:hAnsi="楷体" w:eastAsia="楷体" w:cs="宋体"/>
                <w:spacing w:val="-2"/>
                <w:sz w:val="21"/>
                <w:szCs w:val="21"/>
              </w:rPr>
              <w:t>日（如遇节假日，顺延至下一工作日）</w:t>
            </w:r>
          </w:p>
          <w:p>
            <w:pPr>
              <w:pStyle w:val="46"/>
              <w:kinsoku w:val="0"/>
              <w:overflowPunct w:val="0"/>
              <w:spacing w:before="12"/>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在符合本理财产品说明书约定的条件下，管理人有权提前终止该产品，产品到期日受制于提前终止条款。详见下文“十一、产品的终止与清算”。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4"/>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46"/>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本产品按投资周期开放申购与赎回，首个投资周期终止日为</w:t>
            </w:r>
            <w:r>
              <w:rPr>
                <w:rFonts w:hint="eastAsia" w:ascii="楷体" w:hAnsi="楷体" w:eastAsia="楷体" w:cs="宋体"/>
                <w:spacing w:val="-2"/>
                <w:sz w:val="21"/>
                <w:szCs w:val="21"/>
                <w:lang w:eastAsia="zh-CN"/>
              </w:rPr>
              <w:t>2022年5月5日</w:t>
            </w:r>
            <w:r>
              <w:rPr>
                <w:rFonts w:hint="eastAsia" w:ascii="楷体" w:hAnsi="楷体" w:eastAsia="楷体" w:cs="宋体"/>
                <w:spacing w:val="-2"/>
                <w:sz w:val="21"/>
                <w:szCs w:val="21"/>
              </w:rPr>
              <w:t>，之后本产品每</w:t>
            </w:r>
            <w:r>
              <w:rPr>
                <w:rFonts w:ascii="楷体" w:hAnsi="楷体" w:eastAsia="楷体" w:cs="宋体"/>
                <w:spacing w:val="-2"/>
                <w:sz w:val="21"/>
                <w:szCs w:val="21"/>
              </w:rPr>
              <w:t>3</w:t>
            </w:r>
            <w:r>
              <w:rPr>
                <w:rFonts w:hint="eastAsia" w:ascii="楷体" w:hAnsi="楷体" w:eastAsia="楷体" w:cs="宋体"/>
                <w:spacing w:val="-2"/>
                <w:sz w:val="21"/>
                <w:szCs w:val="21"/>
              </w:rPr>
              <w:t>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46"/>
              <w:kinsoku w:val="0"/>
              <w:overflowPunct w:val="0"/>
              <w:spacing w:before="14"/>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管理人有权根据资产运作情况、节假日安排调整开放计划，并在调整前进行公告。详见下文“九、产品申购、赎回”。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w:t>
            </w:r>
            <w:r>
              <w:rPr>
                <w:rFonts w:hint="eastAsia" w:ascii="楷体" w:hAnsi="楷体" w:eastAsia="楷体" w:cs="宋体"/>
                <w:b/>
                <w:spacing w:val="-2"/>
                <w:sz w:val="21"/>
                <w:szCs w:val="21"/>
                <w:lang w:val="en-US" w:eastAsia="zh-CN"/>
              </w:rPr>
              <w:t>单日</w:t>
            </w:r>
            <w:r>
              <w:rPr>
                <w:rFonts w:hint="eastAsia" w:ascii="楷体" w:hAnsi="楷体" w:eastAsia="楷体" w:cs="宋体"/>
                <w:b/>
                <w:spacing w:val="-2"/>
                <w:sz w:val="21"/>
                <w:szCs w:val="21"/>
              </w:rPr>
              <w:t>认/申购限额</w:t>
            </w:r>
          </w:p>
        </w:tc>
        <w:tc>
          <w:tcPr>
            <w:tcW w:w="6614" w:type="dxa"/>
            <w:noWrap w:val="0"/>
            <w:vAlign w:val="center"/>
          </w:tcPr>
          <w:p>
            <w:pPr>
              <w:ind w:left="59" w:leftChars="0" w:right="73" w:rightChars="35"/>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1亿元。</w:t>
            </w:r>
            <w:r>
              <w:rPr>
                <w:rFonts w:hint="eastAsia" w:ascii="楷体" w:hAnsi="楷体" w:eastAsia="楷体" w:cs="宋体"/>
                <w:spacing w:val="-2"/>
                <w:sz w:val="21"/>
                <w:szCs w:val="21"/>
              </w:rPr>
              <w:t>超过单日累计认/申购上限时，</w:t>
            </w:r>
            <w:r>
              <w:rPr>
                <w:rFonts w:hint="eastAsia" w:ascii="楷体" w:hAnsi="楷体" w:eastAsia="楷体" w:cs="宋体"/>
                <w:spacing w:val="-2"/>
                <w:sz w:val="21"/>
                <w:szCs w:val="21"/>
                <w:lang w:val="en-US" w:eastAsia="zh-CN"/>
              </w:rPr>
              <w:t>管理人有权</w:t>
            </w:r>
            <w:r>
              <w:rPr>
                <w:rFonts w:hint="eastAsia" w:ascii="楷体" w:hAnsi="楷体" w:eastAsia="楷体" w:cs="宋体"/>
                <w:spacing w:val="-2"/>
                <w:sz w:val="21"/>
                <w:szCs w:val="21"/>
              </w:rPr>
              <w:t>拒绝投资者的认/申购申请。产品存续期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ind w:left="59" w:leftChars="0" w:right="73" w:rightChars="35"/>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46"/>
              <w:kinsoku w:val="0"/>
              <w:overflowPunct w:val="0"/>
              <w:spacing w:before="14"/>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1亿份。</w:t>
            </w:r>
            <w:r>
              <w:rPr>
                <w:rFonts w:hint="eastAsia" w:ascii="楷体" w:hAnsi="楷体" w:eastAsia="楷体" w:cs="宋体"/>
                <w:b/>
                <w:bCs/>
                <w:spacing w:val="-2"/>
                <w:kern w:val="0"/>
                <w:sz w:val="21"/>
                <w:szCs w:val="21"/>
                <w:u w:val="single"/>
                <w:lang w:val="en-US" w:eastAsia="zh-CN" w:bidi="ar-SA"/>
              </w:rPr>
              <w:t>超过单个客户赎回限额时，管理人有权拒绝投资者的赎回申请。对于单个投资者单个开放日申请赎回理财份额超过上一交易日日终理财产品总份额的10%的部分，管理人有权暂停接受其赎回申请。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4"/>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46"/>
              <w:kinsoku w:val="0"/>
              <w:overflowPunct w:val="0"/>
              <w:spacing w:before="14"/>
              <w:ind w:left="59" w:leftChars="0"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2278" w:type="dxa"/>
            <w:noWrap w:val="0"/>
            <w:vAlign w:val="center"/>
          </w:tcPr>
          <w:p>
            <w:pPr>
              <w:pStyle w:val="46"/>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巨额赎回</w:t>
            </w:r>
          </w:p>
        </w:tc>
        <w:tc>
          <w:tcPr>
            <w:tcW w:w="6614" w:type="dxa"/>
            <w:noWrap w:val="0"/>
            <w:vAlign w:val="center"/>
          </w:tcPr>
          <w:p>
            <w:pPr>
              <w:ind w:right="115" w:rightChars="55"/>
              <w:rPr>
                <w:rFonts w:hint="eastAsia"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jc w:val="both"/>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jc w:val="both"/>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right="73" w:rightChars="35"/>
              <w:jc w:val="both"/>
              <w:rPr>
                <w:rFonts w:hint="eastAsia" w:ascii="楷体" w:hAnsi="楷体" w:eastAsia="楷体" w:cs="宋体"/>
                <w:spacing w:val="-2"/>
                <w:sz w:val="21"/>
                <w:szCs w:val="21"/>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right="53" w:rightChars="25"/>
              <w:textAlignment w:val="auto"/>
              <w:outlineLvl w:val="9"/>
              <w:rPr>
                <w:rFonts w:hint="eastAsia" w:ascii="楷体" w:hAnsi="楷体" w:eastAsia="楷体" w:cs="宋体"/>
                <w:spacing w:val="-2"/>
                <w:sz w:val="21"/>
                <w:szCs w:val="21"/>
              </w:rPr>
            </w:pPr>
            <w:r>
              <w:rPr>
                <w:rFonts w:hint="eastAsia" w:ascii="楷体" w:hAnsi="楷体" w:eastAsia="楷体" w:cs="宋体"/>
                <w:spacing w:val="-2"/>
                <w:kern w:val="0"/>
                <w:sz w:val="21"/>
                <w:szCs w:val="21"/>
                <w:lang w:val="en-US" w:eastAsia="zh-CN" w:bidi="ar-SA"/>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2"/>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ind w:left="59" w:right="73" w:rightChars="35"/>
              <w:rPr>
                <w:rFonts w:hint="eastAsia" w:ascii="楷体" w:hAnsi="楷体" w:eastAsia="楷体"/>
                <w:b w:val="0"/>
                <w:bCs w:val="0"/>
                <w:szCs w:val="21"/>
              </w:rPr>
            </w:pPr>
            <w:r>
              <w:rPr>
                <w:rFonts w:hint="eastAsia" w:ascii="楷体" w:hAnsi="楷体" w:eastAsia="楷体" w:cs="宋体"/>
                <w:b/>
                <w:bCs/>
                <w:spacing w:val="-2"/>
                <w:sz w:val="21"/>
                <w:szCs w:val="21"/>
                <w:u w:val="single"/>
              </w:rPr>
              <w:t>苏银理财</w:t>
            </w:r>
            <w:r>
              <w:rPr>
                <w:rFonts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b w:val="0"/>
                <w:bCs w:val="0"/>
                <w:spacing w:val="-2"/>
                <w:sz w:val="21"/>
                <w:szCs w:val="21"/>
                <w:u w:val="single"/>
              </w:rPr>
              <w:t>各份额业绩比较基准如下：</w:t>
            </w:r>
          </w:p>
          <w:tbl>
            <w:tblPr>
              <w:tblStyle w:val="15"/>
              <w:tblW w:w="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rPr>
                  </w:pPr>
                  <w:r>
                    <w:rPr>
                      <w:rFonts w:hint="eastAsia" w:ascii="楷体" w:hAnsi="楷体" w:eastAsia="楷体"/>
                      <w:szCs w:val="21"/>
                    </w:rPr>
                    <w:t>投资周期</w:t>
                  </w:r>
                </w:p>
              </w:tc>
              <w:tc>
                <w:tcPr>
                  <w:tcW w:w="1871" w:type="dxa"/>
                  <w:noWrap w:val="0"/>
                  <w:vAlign w:val="center"/>
                </w:tcPr>
                <w:p>
                  <w:pPr>
                    <w:jc w:val="center"/>
                    <w:rPr>
                      <w:rFonts w:ascii="楷体" w:hAnsi="楷体" w:eastAsia="楷体"/>
                      <w:szCs w:val="21"/>
                    </w:rPr>
                  </w:pPr>
                  <w:r>
                    <w:rPr>
                      <w:rFonts w:hint="eastAsia" w:ascii="楷体" w:hAnsi="楷体" w:eastAsia="楷体"/>
                      <w:szCs w:val="21"/>
                    </w:rPr>
                    <w:t>投资周期起始日</w:t>
                  </w:r>
                </w:p>
              </w:tc>
              <w:tc>
                <w:tcPr>
                  <w:tcW w:w="1871" w:type="dxa"/>
                  <w:noWrap w:val="0"/>
                  <w:vAlign w:val="center"/>
                </w:tcPr>
                <w:p>
                  <w:pPr>
                    <w:jc w:val="center"/>
                    <w:rPr>
                      <w:rFonts w:ascii="楷体" w:hAnsi="楷体" w:eastAsia="楷体"/>
                      <w:szCs w:val="21"/>
                    </w:rPr>
                  </w:pPr>
                  <w:r>
                    <w:rPr>
                      <w:rFonts w:hint="eastAsia" w:ascii="楷体" w:hAnsi="楷体" w:eastAsia="楷体"/>
                      <w:szCs w:val="21"/>
                    </w:rPr>
                    <w:t>投资周期终止日</w:t>
                  </w:r>
                </w:p>
              </w:tc>
              <w:tc>
                <w:tcPr>
                  <w:tcW w:w="1928" w:type="dxa"/>
                  <w:noWrap w:val="0"/>
                  <w:vAlign w:val="center"/>
                </w:tcPr>
                <w:p>
                  <w:pPr>
                    <w:jc w:val="center"/>
                    <w:rPr>
                      <w:rFonts w:hint="eastAsia" w:ascii="楷体" w:hAnsi="楷体" w:eastAsia="楷体"/>
                      <w:szCs w:val="21"/>
                    </w:rPr>
                  </w:pPr>
                  <w:r>
                    <w:rPr>
                      <w:rFonts w:hint="eastAsia" w:ascii="楷体" w:hAnsi="楷体" w:eastAsia="楷体"/>
                      <w:szCs w:val="21"/>
                    </w:rPr>
                    <w:t>业绩比较基准</w:t>
                  </w:r>
                </w:p>
                <w:p>
                  <w:pPr>
                    <w:jc w:val="center"/>
                    <w:rPr>
                      <w:rFonts w:hint="default" w:ascii="楷体" w:hAnsi="楷体" w:eastAsia="楷体"/>
                      <w:szCs w:val="21"/>
                      <w:lang w:val="en-US" w:eastAsia="zh-CN"/>
                    </w:rPr>
                  </w:pPr>
                  <w:r>
                    <w:rPr>
                      <w:rFonts w:hint="eastAsia" w:ascii="楷体" w:hAnsi="楷体" w:eastAsia="楷体"/>
                      <w:szCs w:val="21"/>
                      <w:lang w:eastAsia="zh-CN"/>
                    </w:rPr>
                    <w:t>（</w:t>
                  </w:r>
                  <w:r>
                    <w:rPr>
                      <w:rFonts w:hint="eastAsia" w:ascii="楷体" w:hAnsi="楷体" w:eastAsia="楷体"/>
                      <w:szCs w:val="21"/>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rPr>
                  </w:pPr>
                  <w:r>
                    <w:rPr>
                      <w:rFonts w:hint="eastAsia" w:ascii="楷体" w:hAnsi="楷体" w:eastAsia="楷体"/>
                      <w:szCs w:val="21"/>
                    </w:rPr>
                    <w:t>1</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2022年1月21日</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2022年5月5日</w:t>
                  </w:r>
                </w:p>
              </w:tc>
              <w:tc>
                <w:tcPr>
                  <w:tcW w:w="1928" w:type="dxa"/>
                  <w:noWrap w:val="0"/>
                  <w:vAlign w:val="center"/>
                </w:tcPr>
                <w:p>
                  <w:pPr>
                    <w:jc w:val="center"/>
                    <w:rPr>
                      <w:rFonts w:ascii="楷体" w:hAnsi="楷体" w:eastAsia="楷体"/>
                      <w:szCs w:val="21"/>
                    </w:rPr>
                  </w:pPr>
                  <w:r>
                    <w:rPr>
                      <w:rFonts w:ascii="楷体" w:hAnsi="楷体" w:eastAsia="楷体" w:cs="宋体"/>
                      <w:spacing w:val="-2"/>
                      <w:szCs w:val="21"/>
                    </w:rPr>
                    <w:t>3.7</w:t>
                  </w:r>
                  <w:r>
                    <w:rPr>
                      <w:rFonts w:hint="eastAsia" w:ascii="楷体" w:hAnsi="楷体" w:eastAsia="楷体" w:cs="宋体"/>
                      <w:spacing w:val="-2"/>
                      <w:szCs w:val="21"/>
                      <w:lang w:val="en-US" w:eastAsia="zh-CN"/>
                    </w:rPr>
                    <w:t>5</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0" w:type="dxa"/>
                  <w:noWrap w:val="0"/>
                  <w:vAlign w:val="center"/>
                </w:tcPr>
                <w:p>
                  <w:pPr>
                    <w:jc w:val="center"/>
                    <w:rPr>
                      <w:rFonts w:ascii="楷体" w:hAnsi="楷体" w:eastAsia="楷体"/>
                      <w:szCs w:val="21"/>
                    </w:rPr>
                  </w:pPr>
                  <w:r>
                    <w:rPr>
                      <w:rFonts w:hint="eastAsia" w:ascii="楷体" w:hAnsi="楷体" w:eastAsia="楷体"/>
                      <w:szCs w:val="21"/>
                    </w:rPr>
                    <w:t>2</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2022年5月6日</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2022年8月18日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ascii="楷体" w:hAnsi="楷体" w:eastAsia="楷体" w:cs="宋体"/>
                      <w:spacing w:val="-2"/>
                      <w:szCs w:val="21"/>
                    </w:rPr>
                    <w:t>3.65</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lang w:val="en-US" w:eastAsia="zh-CN"/>
                    </w:rPr>
                  </w:pPr>
                  <w:r>
                    <w:rPr>
                      <w:rFonts w:hint="eastAsia" w:ascii="楷体" w:hAnsi="楷体" w:eastAsia="楷体"/>
                      <w:szCs w:val="21"/>
                      <w:lang w:val="en-US" w:eastAsia="zh-CN"/>
                    </w:rPr>
                    <w:t>3</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2022年8月19日</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Cs w:val="21"/>
                      <w:lang w:eastAsia="zh-CN"/>
                    </w:rPr>
                    <w:t>2022年11月30日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w:t>
                  </w:r>
                  <w:r>
                    <w:rPr>
                      <w:rFonts w:ascii="楷体" w:hAnsi="楷体" w:eastAsia="楷体" w:cs="宋体"/>
                      <w:spacing w:val="-2"/>
                      <w:szCs w:val="21"/>
                    </w:rPr>
                    <w:t>3.65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w:t>
                  </w:r>
                  <w:r>
                    <w:rPr>
                      <w:rFonts w:ascii="楷体" w:hAnsi="楷体" w:eastAsia="楷体" w:cs="宋体"/>
                      <w:spacing w:val="-2"/>
                      <w:szCs w:val="21"/>
                    </w:rPr>
                    <w:t>3.75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w:t>
                  </w:r>
                  <w:r>
                    <w:rPr>
                      <w:rFonts w:ascii="楷体" w:hAnsi="楷体" w:eastAsia="楷体" w:cs="宋体"/>
                      <w:spacing w:val="-2"/>
                      <w:szCs w:val="21"/>
                    </w:rPr>
                    <w:t>3.7</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w:t>
                  </w:r>
                  <w:r>
                    <w:rPr>
                      <w:rFonts w:ascii="楷体" w:hAnsi="楷体" w:eastAsia="楷体" w:cs="宋体"/>
                      <w:spacing w:val="-2"/>
                      <w:szCs w:val="21"/>
                    </w:rPr>
                    <w:t>3.6</w:t>
                  </w:r>
                  <w:r>
                    <w:rPr>
                      <w:rFonts w:hint="eastAsia" w:ascii="楷体" w:hAnsi="楷体" w:eastAsia="楷体" w:cs="宋体"/>
                      <w:spacing w:val="-2"/>
                      <w:szCs w:val="21"/>
                      <w:lang w:val="en-US" w:eastAsia="zh-CN"/>
                    </w:rPr>
                    <w:t>5</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4</w:t>
                  </w:r>
                </w:p>
              </w:tc>
              <w:tc>
                <w:tcPr>
                  <w:tcW w:w="1871" w:type="dxa"/>
                  <w:noWrap w:val="0"/>
                  <w:vAlign w:val="center"/>
                </w:tcPr>
                <w:p>
                  <w:pPr>
                    <w:jc w:val="center"/>
                    <w:rPr>
                      <w:rFonts w:hint="eastAsia" w:ascii="楷体" w:hAnsi="楷体" w:eastAsia="楷体"/>
                      <w:sz w:val="21"/>
                      <w:szCs w:val="21"/>
                      <w:lang w:eastAsia="zh-CN"/>
                    </w:rPr>
                  </w:pPr>
                  <w:r>
                    <w:rPr>
                      <w:rFonts w:hint="eastAsia" w:ascii="楷体" w:hAnsi="楷体" w:eastAsia="楷体"/>
                      <w:sz w:val="21"/>
                      <w:szCs w:val="21"/>
                      <w:lang w:eastAsia="zh-CN"/>
                    </w:rPr>
                    <w:t>2022年12月1日</w:t>
                  </w:r>
                </w:p>
              </w:tc>
              <w:tc>
                <w:tcPr>
                  <w:tcW w:w="1871" w:type="dxa"/>
                  <w:noWrap w:val="0"/>
                  <w:vAlign w:val="center"/>
                </w:tcPr>
                <w:p>
                  <w:pPr>
                    <w:jc w:val="center"/>
                    <w:rPr>
                      <w:rFonts w:hint="default" w:ascii="楷体" w:hAnsi="楷体" w:eastAsia="楷体"/>
                      <w:sz w:val="21"/>
                      <w:szCs w:val="21"/>
                      <w:lang w:val="en-US" w:eastAsia="zh-CN"/>
                    </w:rPr>
                  </w:pPr>
                  <w:r>
                    <w:rPr>
                      <w:rFonts w:hint="eastAsia" w:ascii="楷体" w:hAnsi="楷体" w:eastAsia="楷体"/>
                      <w:sz w:val="21"/>
                      <w:szCs w:val="21"/>
                      <w:lang w:val="en-US" w:eastAsia="zh-CN"/>
                    </w:rPr>
                    <w:t>2023年3月14日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D份额2.75%-</w:t>
                  </w:r>
                  <w:r>
                    <w:rPr>
                      <w:rFonts w:ascii="楷体" w:hAnsi="楷体" w:eastAsia="楷体" w:cs="宋体"/>
                      <w:spacing w:val="-2"/>
                      <w:szCs w:val="21"/>
                    </w:rPr>
                    <w:t>3.6</w:t>
                  </w:r>
                  <w:r>
                    <w:rPr>
                      <w:rFonts w:hint="eastAsia" w:ascii="楷体" w:hAnsi="楷体" w:eastAsia="楷体" w:cs="宋体"/>
                      <w:spacing w:val="-2"/>
                      <w:szCs w:val="21"/>
                      <w:lang w:val="en-US" w:eastAsia="zh-CN"/>
                    </w:rPr>
                    <w:t>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5</w:t>
                  </w:r>
                </w:p>
              </w:tc>
              <w:tc>
                <w:tcPr>
                  <w:tcW w:w="1871" w:type="dxa"/>
                  <w:noWrap w:val="0"/>
                  <w:vAlign w:val="center"/>
                </w:tcPr>
                <w:p>
                  <w:pPr>
                    <w:jc w:val="center"/>
                    <w:rPr>
                      <w:rFonts w:hint="default" w:ascii="楷体" w:hAnsi="楷体" w:eastAsia="楷体"/>
                      <w:sz w:val="21"/>
                      <w:szCs w:val="21"/>
                      <w:lang w:val="en-US" w:eastAsia="zh-CN"/>
                    </w:rPr>
                  </w:pPr>
                  <w:r>
                    <w:rPr>
                      <w:rFonts w:hint="eastAsia" w:ascii="楷体" w:hAnsi="楷体" w:eastAsia="楷体"/>
                      <w:sz w:val="21"/>
                      <w:szCs w:val="21"/>
                      <w:lang w:val="en-US" w:eastAsia="zh-CN"/>
                    </w:rPr>
                    <w:t>2023年3月15日</w:t>
                  </w:r>
                </w:p>
              </w:tc>
              <w:tc>
                <w:tcPr>
                  <w:tcW w:w="1871" w:type="dxa"/>
                  <w:noWrap w:val="0"/>
                  <w:vAlign w:val="center"/>
                </w:tcPr>
                <w:p>
                  <w:pPr>
                    <w:jc w:val="center"/>
                    <w:rPr>
                      <w:rFonts w:hint="default" w:ascii="楷体" w:hAnsi="楷体" w:eastAsia="楷体"/>
                      <w:sz w:val="21"/>
                      <w:szCs w:val="21"/>
                      <w:lang w:val="en-US" w:eastAsia="zh-CN"/>
                    </w:rPr>
                  </w:pPr>
                  <w:r>
                    <w:rPr>
                      <w:rFonts w:hint="eastAsia" w:ascii="楷体" w:hAnsi="楷体" w:eastAsia="楷体"/>
                      <w:sz w:val="21"/>
                      <w:szCs w:val="21"/>
                      <w:lang w:val="en-US" w:eastAsia="zh-CN"/>
                    </w:rPr>
                    <w:t>2023年6月20日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6</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2023年6月21日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2023年9月25日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val="en-US" w:eastAsia="zh-CN"/>
                    </w:rPr>
                    <w:t>7</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2023年9月26日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2024年1月9日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D份额2.85%-</w:t>
                  </w:r>
                  <w:r>
                    <w:rPr>
                      <w:rFonts w:ascii="楷体" w:hAnsi="楷体" w:eastAsia="楷体" w:cs="宋体"/>
                      <w:spacing w:val="-2"/>
                      <w:szCs w:val="21"/>
                    </w:rPr>
                    <w:t>3.</w:t>
                  </w:r>
                  <w:r>
                    <w:rPr>
                      <w:rFonts w:hint="eastAsia" w:ascii="楷体" w:hAnsi="楷体" w:eastAsia="楷体" w:cs="宋体"/>
                      <w:spacing w:val="-2"/>
                      <w:szCs w:val="21"/>
                      <w:lang w:val="en-US" w:eastAsia="zh-CN"/>
                    </w:rPr>
                    <w:t>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E份额2.95%-</w:t>
                  </w:r>
                  <w:r>
                    <w:rPr>
                      <w:rFonts w:ascii="楷体" w:hAnsi="楷体" w:eastAsia="楷体" w:cs="宋体"/>
                      <w:spacing w:val="-2"/>
                      <w:szCs w:val="21"/>
                    </w:rPr>
                    <w:t>3.</w:t>
                  </w:r>
                  <w:r>
                    <w:rPr>
                      <w:rFonts w:hint="eastAsia" w:ascii="楷体" w:hAnsi="楷体" w:eastAsia="楷体" w:cs="宋体"/>
                      <w:spacing w:val="-2"/>
                      <w:szCs w:val="21"/>
                      <w:lang w:val="en-US" w:eastAsia="zh-CN"/>
                    </w:rPr>
                    <w:t>85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8</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2024年1月10日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2024年4月23日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A份额2.70%-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C份额2.80%-</w:t>
                  </w:r>
                  <w:r>
                    <w:rPr>
                      <w:rFonts w:ascii="楷体" w:hAnsi="楷体" w:eastAsia="楷体" w:cs="宋体"/>
                      <w:spacing w:val="-2"/>
                      <w:szCs w:val="21"/>
                    </w:rPr>
                    <w:t>3.</w:t>
                  </w:r>
                  <w:r>
                    <w:rPr>
                      <w:rFonts w:hint="eastAsia" w:ascii="楷体" w:hAnsi="楷体" w:eastAsia="楷体" w:cs="宋体"/>
                      <w:spacing w:val="-2"/>
                      <w:szCs w:val="21"/>
                      <w:lang w:val="en-US" w:eastAsia="zh-CN"/>
                    </w:rPr>
                    <w:t>70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D份额2.85%-</w:t>
                  </w:r>
                  <w:r>
                    <w:rPr>
                      <w:rFonts w:ascii="楷体" w:hAnsi="楷体" w:eastAsia="楷体" w:cs="宋体"/>
                      <w:spacing w:val="-2"/>
                      <w:szCs w:val="21"/>
                    </w:rPr>
                    <w:t>3.</w:t>
                  </w:r>
                  <w:r>
                    <w:rPr>
                      <w:rFonts w:hint="eastAsia" w:ascii="楷体" w:hAnsi="楷体" w:eastAsia="楷体" w:cs="宋体"/>
                      <w:spacing w:val="-2"/>
                      <w:szCs w:val="21"/>
                      <w:lang w:val="en-US" w:eastAsia="zh-CN"/>
                    </w:rPr>
                    <w:t>75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E份额2.95%-</w:t>
                  </w:r>
                  <w:r>
                    <w:rPr>
                      <w:rFonts w:ascii="楷体" w:hAnsi="楷体" w:eastAsia="楷体" w:cs="宋体"/>
                      <w:spacing w:val="-2"/>
                      <w:szCs w:val="21"/>
                    </w:rPr>
                    <w:t>3.</w:t>
                  </w:r>
                  <w:r>
                    <w:rPr>
                      <w:rFonts w:hint="eastAsia" w:ascii="楷体" w:hAnsi="楷体" w:eastAsia="楷体" w:cs="宋体"/>
                      <w:spacing w:val="-2"/>
                      <w:szCs w:val="21"/>
                      <w:lang w:val="en-US" w:eastAsia="zh-CN"/>
                    </w:rPr>
                    <w:t>85</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rPr>
                  </w:pPr>
                  <w:r>
                    <w:rPr>
                      <w:rFonts w:hint="eastAsia" w:ascii="楷体" w:hAnsi="楷体" w:eastAsia="楷体" w:cs="宋体"/>
                      <w:spacing w:val="-2"/>
                      <w:szCs w:val="21"/>
                      <w:lang w:val="en-US" w:eastAsia="zh-CN"/>
                    </w:rPr>
                    <w:t>F份额2.70%-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W份额2.70%-</w:t>
                  </w:r>
                  <w:r>
                    <w:rPr>
                      <w:rFonts w:ascii="楷体" w:hAnsi="楷体" w:eastAsia="楷体" w:cs="宋体"/>
                      <w:spacing w:val="-2"/>
                      <w:szCs w:val="21"/>
                    </w:rPr>
                    <w:t>3.6</w:t>
                  </w:r>
                  <w:r>
                    <w:rPr>
                      <w:rFonts w:hint="eastAsia" w:ascii="楷体" w:hAnsi="楷体" w:eastAsia="楷体" w:cs="宋体"/>
                      <w:spacing w:val="-2"/>
                      <w:szCs w:val="21"/>
                      <w:lang w:val="en-US" w:eastAsia="zh-CN"/>
                    </w:rPr>
                    <w:t>0</w:t>
                  </w:r>
                  <w:r>
                    <w:rPr>
                      <w:rFonts w:hint="eastAsia" w:ascii="楷体" w:hAnsi="楷体" w:eastAsia="楷体" w:cs="宋体"/>
                      <w:spacing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9</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2024年4月24日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2024年7月30日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10</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2024年7月31日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2024年11月7日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C份额2.40%-3.20%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D份额2.45%-3.25%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E份额2.55%-3.35%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11</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2024年11月8日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2025年2月12日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val="en-US" w:eastAsia="zh-CN"/>
                    </w:rPr>
                    <w:t>12</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2025年2月13日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2025年5月21日</w:t>
                  </w:r>
                </w:p>
              </w:tc>
              <w:tc>
                <w:tcPr>
                  <w:tcW w:w="192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C份额2.30%-3.10%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D份额2.35%-3.15%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E份额2.45%-3.25%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lang w:val="en-US" w:eastAsia="zh-CN"/>
                    </w:rPr>
                    <w:t>S份额2.30%-3.10%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13</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2025年5月22日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 w:val="21"/>
                      <w:szCs w:val="21"/>
                      <w:lang w:val="en-US" w:eastAsia="zh-CN"/>
                    </w:rPr>
                    <w:t>2025年8月27日</w:t>
                  </w:r>
                </w:p>
              </w:tc>
              <w:tc>
                <w:tcPr>
                  <w:tcW w:w="192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A份额2.10%-2.90%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C份额2.20%-3.00%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D份额2.25%-3.05%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E份额2.35%-3.15%</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F份额2.10%-2.90%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r>
                    <w:rPr>
                      <w:rFonts w:hint="eastAsia" w:ascii="楷体" w:hAnsi="楷体" w:eastAsia="楷体" w:cs="宋体"/>
                      <w:spacing w:val="-2"/>
                      <w:szCs w:val="21"/>
                      <w:lang w:val="en-US" w:eastAsia="zh-CN"/>
                    </w:rPr>
                    <w:t>W份额2.10%-2.90%</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kern w:val="2"/>
                      <w:sz w:val="21"/>
                      <w:szCs w:val="21"/>
                      <w:lang w:val="en-US" w:eastAsia="zh-CN" w:bidi="ar-SA"/>
                    </w:rPr>
                  </w:pPr>
                  <w:r>
                    <w:rPr>
                      <w:rFonts w:hint="eastAsia" w:ascii="楷体" w:hAnsi="楷体" w:eastAsia="楷体" w:cs="宋体"/>
                      <w:spacing w:val="-2"/>
                      <w:szCs w:val="21"/>
                      <w:lang w:val="en-US" w:eastAsia="zh-CN"/>
                    </w:rPr>
                    <w:t>S份额2.20%-3.00%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lang w:val="en-US" w:eastAsia="zh-CN"/>
                    </w:rPr>
                  </w:pPr>
                  <w:r>
                    <w:rPr>
                      <w:rFonts w:hint="eastAsia" w:ascii="楷体" w:hAnsi="楷体" w:eastAsia="楷体"/>
                      <w:szCs w:val="21"/>
                      <w:lang w:val="en-US" w:eastAsia="zh-CN"/>
                    </w:rPr>
                    <w:t>14</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2025年8月28日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2025年12月3日</w:t>
                  </w:r>
                </w:p>
              </w:tc>
              <w:tc>
                <w:tcPr>
                  <w:tcW w:w="192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 w:hAnsi="楷体" w:eastAsia="楷体" w:cs="宋体"/>
                      <w:spacing w:val="-2"/>
                      <w:szCs w:val="21"/>
                      <w:lang w:val="en-US" w:eastAsia="zh-CN"/>
                    </w:rPr>
                  </w:pPr>
                </w:p>
              </w:tc>
            </w:tr>
          </w:tbl>
          <w:p>
            <w:pPr>
              <w:ind w:left="59" w:leftChars="0" w:right="73" w:rightChars="35"/>
              <w:rPr>
                <w:rFonts w:hint="eastAsia" w:ascii="楷体" w:hAnsi="楷体" w:eastAsia="楷体" w:cs="宋体"/>
                <w:b/>
                <w:spacing w:val="-2"/>
                <w:szCs w:val="21"/>
                <w:u w:val="single"/>
              </w:rPr>
            </w:pPr>
            <w:bookmarkStart w:id="0" w:name="_GoBack"/>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46"/>
              <w:kinsoku w:val="0"/>
              <w:overflowPunct w:val="0"/>
              <w:spacing w:before="18"/>
              <w:ind w:left="55"/>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2.销售服务费率：A份额</w:t>
            </w:r>
            <w:r>
              <w:rPr>
                <w:rFonts w:ascii="楷体" w:hAnsi="楷体" w:eastAsia="楷体" w:cs="宋体"/>
                <w:spacing w:val="-2"/>
                <w:szCs w:val="21"/>
              </w:rPr>
              <w:t>0.2</w:t>
            </w:r>
            <w:r>
              <w:rPr>
                <w:rFonts w:hint="eastAsia" w:ascii="楷体" w:hAnsi="楷体" w:eastAsia="楷体" w:cs="宋体"/>
                <w:spacing w:val="-2"/>
                <w:szCs w:val="21"/>
              </w:rPr>
              <w:t>0%/年，</w:t>
            </w:r>
            <w:r>
              <w:rPr>
                <w:rFonts w:ascii="楷体" w:hAnsi="楷体" w:eastAsia="楷体" w:cs="宋体"/>
                <w:spacing w:val="-2"/>
                <w:szCs w:val="21"/>
              </w:rPr>
              <w:t>C</w:t>
            </w:r>
            <w:r>
              <w:rPr>
                <w:rFonts w:hint="eastAsia" w:ascii="楷体" w:hAnsi="楷体" w:eastAsia="楷体" w:cs="宋体"/>
                <w:spacing w:val="-2"/>
                <w:szCs w:val="21"/>
              </w:rPr>
              <w:t>份额</w:t>
            </w:r>
            <w:r>
              <w:rPr>
                <w:rFonts w:ascii="楷体" w:hAnsi="楷体" w:eastAsia="楷体" w:cs="宋体"/>
                <w:spacing w:val="-2"/>
                <w:szCs w:val="21"/>
              </w:rPr>
              <w:t>0.15</w:t>
            </w:r>
            <w:r>
              <w:rPr>
                <w:rFonts w:hint="eastAsia" w:ascii="楷体" w:hAnsi="楷体" w:eastAsia="楷体" w:cs="宋体"/>
                <w:spacing w:val="-2"/>
                <w:szCs w:val="21"/>
              </w:rPr>
              <w:t>%/年，</w:t>
            </w:r>
            <w:r>
              <w:rPr>
                <w:rFonts w:ascii="楷体" w:hAnsi="楷体" w:eastAsia="楷体" w:cs="宋体"/>
                <w:spacing w:val="-2"/>
                <w:szCs w:val="21"/>
              </w:rPr>
              <w:t>D</w:t>
            </w:r>
            <w:r>
              <w:rPr>
                <w:rFonts w:hint="eastAsia" w:ascii="楷体" w:hAnsi="楷体" w:eastAsia="楷体" w:cs="宋体"/>
                <w:spacing w:val="-2"/>
                <w:szCs w:val="21"/>
              </w:rPr>
              <w:t>份额</w:t>
            </w:r>
            <w:r>
              <w:rPr>
                <w:rFonts w:ascii="楷体" w:hAnsi="楷体" w:eastAsia="楷体" w:cs="宋体"/>
                <w:spacing w:val="-2"/>
                <w:szCs w:val="21"/>
              </w:rPr>
              <w:t>0.2</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E份额0.15%/年，F</w:t>
            </w:r>
            <w:r>
              <w:rPr>
                <w:rFonts w:hint="eastAsia" w:ascii="楷体" w:hAnsi="楷体" w:eastAsia="楷体" w:cs="宋体"/>
                <w:spacing w:val="-2"/>
                <w:szCs w:val="21"/>
              </w:rPr>
              <w:t>份额</w:t>
            </w:r>
            <w:r>
              <w:rPr>
                <w:rFonts w:ascii="楷体" w:hAnsi="楷体" w:eastAsia="楷体" w:cs="宋体"/>
                <w:spacing w:val="-2"/>
                <w:szCs w:val="21"/>
              </w:rPr>
              <w:t>0.2</w:t>
            </w:r>
            <w:r>
              <w:rPr>
                <w:rFonts w:hint="eastAsia" w:ascii="楷体" w:hAnsi="楷体" w:eastAsia="楷体" w:cs="宋体"/>
                <w:spacing w:val="-2"/>
                <w:szCs w:val="21"/>
              </w:rPr>
              <w:t>0%/年</w:t>
            </w:r>
            <w:r>
              <w:rPr>
                <w:rFonts w:hint="eastAsia" w:ascii="楷体" w:hAnsi="楷体" w:eastAsia="楷体" w:cs="宋体"/>
                <w:spacing w:val="-2"/>
                <w:szCs w:val="21"/>
                <w:lang w:val="en-US" w:eastAsia="zh-CN"/>
              </w:rPr>
              <w:t>,W份额0.30%/年，S</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20</w:t>
            </w:r>
            <w:r>
              <w:rPr>
                <w:rFonts w:hint="eastAsia" w:ascii="楷体" w:hAnsi="楷体" w:eastAsia="楷体" w:cs="宋体"/>
                <w:spacing w:val="-2"/>
                <w:szCs w:val="21"/>
              </w:rPr>
              <w:t>%/年。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ascii="楷体" w:hAnsi="楷体" w:eastAsia="楷体" w:cs="宋体"/>
                <w:spacing w:val="-2"/>
                <w:szCs w:val="21"/>
              </w:rPr>
              <w:t>0.8</w:t>
            </w:r>
            <w:r>
              <w:rPr>
                <w:rFonts w:hint="eastAsia" w:ascii="楷体" w:hAnsi="楷体" w:eastAsia="楷体" w:cs="宋体"/>
                <w:spacing w:val="-2"/>
                <w:szCs w:val="21"/>
              </w:rPr>
              <w:t>0%/年，</w:t>
            </w:r>
            <w:r>
              <w:rPr>
                <w:rFonts w:ascii="楷体" w:hAnsi="楷体" w:eastAsia="楷体" w:cs="宋体"/>
                <w:spacing w:val="-2"/>
                <w:szCs w:val="21"/>
              </w:rPr>
              <w:t>C</w:t>
            </w:r>
            <w:r>
              <w:rPr>
                <w:rFonts w:hint="eastAsia" w:ascii="楷体" w:hAnsi="楷体" w:eastAsia="楷体" w:cs="宋体"/>
                <w:spacing w:val="-2"/>
                <w:szCs w:val="21"/>
              </w:rPr>
              <w:t>份额</w:t>
            </w:r>
            <w:r>
              <w:rPr>
                <w:rFonts w:ascii="楷体" w:hAnsi="楷体" w:eastAsia="楷体" w:cs="宋体"/>
                <w:spacing w:val="-2"/>
                <w:szCs w:val="21"/>
              </w:rPr>
              <w:t>0.75</w:t>
            </w:r>
            <w:r>
              <w:rPr>
                <w:rFonts w:hint="eastAsia" w:ascii="楷体" w:hAnsi="楷体" w:eastAsia="楷体" w:cs="宋体"/>
                <w:spacing w:val="-2"/>
                <w:szCs w:val="21"/>
              </w:rPr>
              <w:t>%/年，</w:t>
            </w:r>
            <w:r>
              <w:rPr>
                <w:rFonts w:ascii="楷体" w:hAnsi="楷体" w:eastAsia="楷体" w:cs="宋体"/>
                <w:spacing w:val="-2"/>
                <w:szCs w:val="21"/>
              </w:rPr>
              <w:t>D</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6</w:t>
            </w:r>
            <w:r>
              <w:rPr>
                <w:rFonts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E份额0.60%/年，F</w:t>
            </w:r>
            <w:r>
              <w:rPr>
                <w:rFonts w:hint="eastAsia" w:ascii="楷体" w:hAnsi="楷体" w:eastAsia="楷体" w:cs="宋体"/>
                <w:spacing w:val="-2"/>
                <w:szCs w:val="21"/>
              </w:rPr>
              <w:t>份额</w:t>
            </w:r>
            <w:r>
              <w:rPr>
                <w:rFonts w:ascii="楷体" w:hAnsi="楷体" w:eastAsia="楷体" w:cs="宋体"/>
                <w:spacing w:val="-2"/>
                <w:szCs w:val="21"/>
              </w:rPr>
              <w:t>0.8</w:t>
            </w:r>
            <w:r>
              <w:rPr>
                <w:rFonts w:hint="eastAsia" w:ascii="楷体" w:hAnsi="楷体" w:eastAsia="楷体" w:cs="宋体"/>
                <w:spacing w:val="-2"/>
                <w:szCs w:val="21"/>
              </w:rPr>
              <w:t>0%/年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W</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7</w:t>
            </w:r>
            <w:r>
              <w:rPr>
                <w:rFonts w:hint="eastAsia" w:ascii="楷体" w:hAnsi="楷体" w:eastAsia="楷体" w:cs="宋体"/>
                <w:spacing w:val="-2"/>
                <w:szCs w:val="21"/>
              </w:rPr>
              <w:t>0%/年</w:t>
            </w:r>
            <w:r>
              <w:rPr>
                <w:rFonts w:hint="eastAsia" w:ascii="楷体" w:hAnsi="楷体" w:eastAsia="楷体" w:cs="宋体"/>
                <w:spacing w:val="-2"/>
                <w:szCs w:val="21"/>
                <w:lang w:val="en-US" w:eastAsia="zh-CN"/>
              </w:rPr>
              <w:t>，S</w:t>
            </w:r>
            <w:r>
              <w:rPr>
                <w:rFonts w:hint="eastAsia" w:ascii="楷体" w:hAnsi="楷体" w:eastAsia="楷体" w:cs="宋体"/>
                <w:spacing w:val="-2"/>
                <w:szCs w:val="21"/>
              </w:rPr>
              <w:t>份额</w:t>
            </w:r>
            <w:r>
              <w:rPr>
                <w:rFonts w:ascii="楷体" w:hAnsi="楷体" w:eastAsia="楷体" w:cs="宋体"/>
                <w:spacing w:val="-2"/>
                <w:szCs w:val="21"/>
              </w:rPr>
              <w:t>0.</w:t>
            </w:r>
            <w:r>
              <w:rPr>
                <w:rFonts w:hint="eastAsia" w:ascii="楷体" w:hAnsi="楷体" w:eastAsia="楷体" w:cs="宋体"/>
                <w:spacing w:val="-2"/>
                <w:szCs w:val="21"/>
                <w:lang w:val="en-US" w:eastAsia="zh-CN"/>
              </w:rPr>
              <w:t>70</w:t>
            </w:r>
            <w:r>
              <w:rPr>
                <w:rFonts w:hint="eastAsia" w:ascii="楷体" w:hAnsi="楷体" w:eastAsia="楷体" w:cs="宋体"/>
                <w:spacing w:val="-2"/>
                <w:szCs w:val="21"/>
              </w:rPr>
              <w:t>%/年。</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w:t>
            </w:r>
            <w:r>
              <w:rPr>
                <w:rFonts w:hint="eastAsia" w:ascii="楷体" w:hAnsi="楷体" w:eastAsia="楷体" w:cs="宋体"/>
                <w:spacing w:val="-2"/>
                <w:szCs w:val="21"/>
                <w:lang w:val="en-US" w:eastAsia="zh-CN"/>
              </w:rPr>
              <w:t>上限</w:t>
            </w:r>
            <w:r>
              <w:rPr>
                <w:rFonts w:hint="eastAsia" w:ascii="楷体" w:hAnsi="楷体" w:eastAsia="楷体" w:cs="宋体"/>
                <w:spacing w:val="-2"/>
                <w:szCs w:val="21"/>
              </w:rPr>
              <w:t>，则该投资周期终止日后管理人将按照超出部分的</w:t>
            </w:r>
            <w:r>
              <w:rPr>
                <w:rFonts w:hint="eastAsia" w:ascii="楷体" w:hAnsi="楷体" w:eastAsia="楷体" w:cs="宋体"/>
                <w:spacing w:val="-2"/>
                <w:szCs w:val="21"/>
                <w:lang w:val="en-US" w:eastAsia="zh-CN"/>
              </w:rPr>
              <w:t>50</w:t>
            </w:r>
            <w:r>
              <w:rPr>
                <w:rFonts w:hint="eastAsia" w:ascii="楷体" w:hAnsi="楷体" w:eastAsia="楷体" w:cs="宋体"/>
                <w:spacing w:val="-2"/>
                <w:szCs w:val="21"/>
              </w:rPr>
              <w:t>%收取超额业绩报酬。</w:t>
            </w:r>
          </w:p>
          <w:p>
            <w:pPr>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ind w:left="59" w:right="73" w:rightChars="35"/>
              <w:rPr>
                <w:rFonts w:ascii="楷体" w:hAnsi="楷体" w:eastAsia="楷体"/>
                <w:sz w:val="24"/>
                <w:szCs w:val="24"/>
              </w:rPr>
            </w:pPr>
            <w:r>
              <w:rPr>
                <w:rFonts w:hint="eastAsia" w:ascii="楷体" w:hAnsi="楷体" w:eastAsia="楷体" w:cs="宋体"/>
                <w:spacing w:val="-2"/>
                <w:szCs w:val="21"/>
              </w:rPr>
              <w:t>产品存续期内苏银理财可对</w:t>
            </w:r>
            <w:r>
              <w:rPr>
                <w:rFonts w:hint="eastAsia" w:ascii="楷体" w:hAnsi="楷体" w:eastAsia="楷体" w:cs="宋体"/>
                <w:spacing w:val="-2"/>
                <w:szCs w:val="21"/>
                <w:lang w:val="en-US" w:eastAsia="zh-CN"/>
              </w:rPr>
              <w:t>费用进行调整</w:t>
            </w:r>
            <w:r>
              <w:rPr>
                <w:rFonts w:hint="eastAsia" w:ascii="楷体" w:hAnsi="楷体" w:eastAsia="楷体" w:cs="宋体"/>
                <w:spacing w:val="-2"/>
                <w:szCs w:val="21"/>
              </w:rPr>
              <w:t>，实际收取费率以管理人公告为准。</w:t>
            </w:r>
            <w:r>
              <w:rPr>
                <w:rFonts w:hint="eastAsia" w:ascii="楷体" w:hAnsi="楷体" w:eastAsia="楷体" w:cs="宋体"/>
                <w:b/>
                <w:spacing w:val="-2"/>
                <w:szCs w:val="21"/>
                <w:u w:val="single"/>
              </w:rPr>
              <w:t>本产品设置有多个份额，各</w:t>
            </w:r>
            <w:r>
              <w:rPr>
                <w:rFonts w:hint="eastAsia" w:ascii="楷体" w:hAnsi="楷体" w:eastAsia="楷体" w:cs="宋体"/>
                <w:b/>
                <w:spacing w:val="-2"/>
                <w:szCs w:val="21"/>
                <w:u w:val="single"/>
                <w:lang w:val="en-US" w:eastAsia="zh-CN"/>
              </w:rPr>
              <w:t>份额</w:t>
            </w:r>
            <w:r>
              <w:rPr>
                <w:rFonts w:hint="eastAsia" w:ascii="楷体" w:hAnsi="楷体" w:eastAsia="楷体" w:cs="宋体"/>
                <w:b/>
                <w:spacing w:val="-2"/>
                <w:szCs w:val="21"/>
                <w:u w:val="single"/>
              </w:rPr>
              <w:t>按照设置的销售对象和销售起点进行销售，各</w:t>
            </w:r>
            <w:r>
              <w:rPr>
                <w:rFonts w:hint="eastAsia" w:ascii="楷体" w:hAnsi="楷体" w:eastAsia="楷体" w:cs="宋体"/>
                <w:b/>
                <w:spacing w:val="-2"/>
                <w:szCs w:val="21"/>
                <w:u w:val="single"/>
                <w:lang w:val="en-US" w:eastAsia="zh-CN"/>
              </w:rPr>
              <w:t>份额</w:t>
            </w:r>
            <w:r>
              <w:rPr>
                <w:rFonts w:hint="eastAsia" w:ascii="楷体" w:hAnsi="楷体" w:eastAsia="楷体" w:cs="宋体"/>
                <w:b/>
                <w:spacing w:val="-2"/>
                <w:szCs w:val="21"/>
                <w:u w:val="single"/>
              </w:rPr>
              <w:t>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6"/>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w:t>
            </w:r>
            <w:r>
              <w:rPr>
                <w:rFonts w:hint="eastAsia" w:ascii="楷体" w:hAnsi="楷体" w:eastAsia="楷体" w:cs="宋体"/>
                <w:spacing w:val="-2"/>
                <w:szCs w:val="21"/>
                <w:lang w:val="en-US" w:eastAsia="zh-CN"/>
              </w:rPr>
              <w:t>/申</w:t>
            </w:r>
            <w:r>
              <w:rPr>
                <w:rFonts w:hint="eastAsia" w:ascii="楷体" w:hAnsi="楷体" w:eastAsia="楷体" w:cs="宋体"/>
                <w:spacing w:val="-2"/>
                <w:szCs w:val="21"/>
              </w:rPr>
              <w:t>购价格和赎回价格。详见下文“十、产品估值”。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6"/>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w:t>
            </w:r>
            <w:r>
              <w:rPr>
                <w:rFonts w:hint="eastAsia" w:ascii="楷体" w:hAnsi="楷体" w:eastAsia="楷体" w:cs="宋体"/>
                <w:spacing w:val="-2"/>
                <w:szCs w:val="21"/>
                <w:lang w:val="en-US" w:eastAsia="zh-CN"/>
              </w:rPr>
              <w:t>/申</w:t>
            </w:r>
            <w:r>
              <w:rPr>
                <w:rFonts w:hint="eastAsia" w:ascii="楷体" w:hAnsi="楷体" w:eastAsia="楷体" w:cs="宋体"/>
                <w:spacing w:val="-2"/>
                <w:szCs w:val="21"/>
              </w:rPr>
              <w:t>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46"/>
              <w:kinsoku w:val="0"/>
              <w:overflowPunct w:val="0"/>
              <w:spacing w:before="18"/>
              <w:ind w:left="55" w:leftChars="0"/>
              <w:jc w:val="both"/>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收益分配</w:t>
            </w:r>
          </w:p>
        </w:tc>
        <w:tc>
          <w:tcPr>
            <w:tcW w:w="6614" w:type="dxa"/>
            <w:tcBorders>
              <w:bottom w:val="single" w:color="auto" w:sz="4" w:space="0"/>
            </w:tcBorders>
            <w:noWrap w:val="0"/>
            <w:vAlign w:val="center"/>
          </w:tcPr>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本产品无分红机制，投资运作情况体现为产品净值变化。产品投资运作</w:t>
            </w:r>
          </w:p>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到期，投资收益扣除相关费用后，全部分配给投资者。详见下文“十</w:t>
            </w:r>
            <w:r>
              <w:rPr>
                <w:rFonts w:hint="eastAsia" w:ascii="楷体" w:hAnsi="楷体" w:eastAsia="楷体" w:cs="宋体"/>
                <w:spacing w:val="-2"/>
                <w:szCs w:val="21"/>
                <w:highlight w:val="none"/>
                <w:lang w:val="en-US" w:eastAsia="zh-CN"/>
              </w:rPr>
              <w:t>一</w:t>
            </w:r>
            <w:r>
              <w:rPr>
                <w:rFonts w:hint="eastAsia" w:ascii="楷体" w:hAnsi="楷体" w:eastAsia="楷体" w:cs="宋体"/>
                <w:spacing w:val="-2"/>
                <w:szCs w:val="21"/>
                <w:highlight w:val="none"/>
              </w:rPr>
              <w:t>、</w:t>
            </w:r>
          </w:p>
          <w:p>
            <w:pPr>
              <w:ind w:left="59" w:leftChars="0" w:right="73"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46"/>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管理人将按照《理财产品说明书》中约定的方式进行信息披露，详见下文“十五、信息披露”。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46"/>
              <w:kinsoku w:val="0"/>
              <w:overflowPunct w:val="0"/>
              <w:spacing w:before="18"/>
              <w:ind w:left="55"/>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本产品运作过程中涉及的各纳税主体，其纳税义务按国家税收法律、法规执行。详见下文“十三、税收规定”。</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本产品管理人为苏银理财有限责任公司，</w:t>
      </w:r>
      <w:r>
        <w:rPr>
          <w:rFonts w:hint="eastAsia" w:ascii="楷体" w:hAnsi="楷体" w:eastAsia="楷体"/>
          <w:sz w:val="24"/>
          <w:szCs w:val="24"/>
          <w:highlight w:val="none"/>
        </w:rPr>
        <w:t>苏银理财系江苏银行股份有限公司全资控股的银行理财子公司。公</w:t>
      </w:r>
      <w:r>
        <w:rPr>
          <w:rFonts w:hint="eastAsia" w:ascii="楷体" w:hAnsi="楷体" w:eastAsia="楷体"/>
          <w:sz w:val="24"/>
          <w:szCs w:val="24"/>
        </w:rPr>
        <w:t>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本理财产品合同</w:t>
      </w:r>
      <w:r>
        <w:rPr>
          <w:rFonts w:hint="eastAsia" w:ascii="楷体" w:hAnsi="楷体" w:eastAsia="楷体" w:cs="Calibri"/>
          <w:sz w:val="24"/>
          <w:szCs w:val="24"/>
        </w:rPr>
        <w:t>的</w:t>
      </w:r>
      <w:r>
        <w:rPr>
          <w:rFonts w:ascii="楷体" w:hAnsi="楷体" w:eastAsia="楷体" w:cs="Calibri"/>
          <w:sz w:val="24"/>
          <w:szCs w:val="24"/>
        </w:rPr>
        <w:t>约定，管理、运用和处分理财计划资金。</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w:t>
      </w:r>
      <w:r>
        <w:rPr>
          <w:rFonts w:hint="eastAsia" w:ascii="楷体" w:hAnsi="楷体" w:eastAsia="楷体" w:cs="Calibri"/>
          <w:sz w:val="24"/>
          <w:szCs w:val="24"/>
        </w:rPr>
        <w:t>产品</w:t>
      </w:r>
      <w:r>
        <w:rPr>
          <w:rFonts w:ascii="楷体" w:hAnsi="楷体" w:eastAsia="楷体" w:cs="Calibri"/>
          <w:sz w:val="24"/>
          <w:szCs w:val="24"/>
        </w:rPr>
        <w:t>合同的约定，及时、足额获得投资管理费。</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有权根据本理财产品合同的约定提前终止</w:t>
      </w:r>
      <w:r>
        <w:rPr>
          <w:rFonts w:hint="eastAsia" w:ascii="楷体" w:hAnsi="楷体" w:eastAsia="楷体" w:cs="Calibri"/>
          <w:sz w:val="24"/>
          <w:szCs w:val="24"/>
        </w:rPr>
        <w:t>或</w:t>
      </w:r>
      <w:r>
        <w:rPr>
          <w:rFonts w:ascii="楷体" w:hAnsi="楷体" w:eastAsia="楷体" w:cs="Calibri"/>
          <w:sz w:val="24"/>
          <w:szCs w:val="24"/>
        </w:rPr>
        <w:t>延长</w:t>
      </w:r>
      <w:r>
        <w:rPr>
          <w:rFonts w:hint="eastAsia" w:ascii="楷体" w:hAnsi="楷体" w:eastAsia="楷体" w:cs="Calibri"/>
          <w:sz w:val="24"/>
          <w:szCs w:val="24"/>
        </w:rPr>
        <w:t>本</w:t>
      </w:r>
      <w:r>
        <w:rPr>
          <w:rFonts w:ascii="楷体" w:hAnsi="楷体" w:eastAsia="楷体" w:cs="Calibri"/>
          <w:sz w:val="24"/>
          <w:szCs w:val="24"/>
        </w:rPr>
        <w:t>理财产品的期限。</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w:t>
      </w:r>
      <w:r>
        <w:rPr>
          <w:rFonts w:hint="eastAsia" w:ascii="楷体" w:hAnsi="楷体" w:eastAsia="楷体" w:cs="Calibri"/>
          <w:sz w:val="24"/>
          <w:szCs w:val="24"/>
        </w:rPr>
        <w:t>调整</w:t>
      </w:r>
      <w:r>
        <w:rPr>
          <w:rFonts w:ascii="楷体" w:hAnsi="楷体" w:eastAsia="楷体" w:cs="Calibri"/>
          <w:sz w:val="24"/>
          <w:szCs w:val="24"/>
        </w:rPr>
        <w:t>本</w:t>
      </w:r>
      <w:r>
        <w:rPr>
          <w:rFonts w:hint="eastAsia" w:ascii="楷体" w:hAnsi="楷体" w:eastAsia="楷体" w:cs="Calibri"/>
          <w:sz w:val="24"/>
          <w:szCs w:val="24"/>
        </w:rPr>
        <w:t>理财</w:t>
      </w:r>
      <w:r>
        <w:rPr>
          <w:rFonts w:ascii="楷体" w:hAnsi="楷体" w:eastAsia="楷体" w:cs="Calibri"/>
          <w:sz w:val="24"/>
          <w:szCs w:val="24"/>
        </w:rPr>
        <w:t>产品的认购规模</w:t>
      </w:r>
      <w:r>
        <w:rPr>
          <w:rFonts w:hint="eastAsia" w:ascii="楷体" w:hAnsi="楷体" w:eastAsia="楷体" w:cs="Calibri"/>
          <w:sz w:val="24"/>
          <w:szCs w:val="24"/>
        </w:rPr>
        <w:t>上限</w:t>
      </w:r>
      <w:r>
        <w:rPr>
          <w:rFonts w:ascii="楷体" w:hAnsi="楷体" w:eastAsia="楷体" w:cs="Calibri"/>
          <w:sz w:val="24"/>
          <w:szCs w:val="24"/>
        </w:rPr>
        <w:t>、认购起点、</w:t>
      </w:r>
      <w:r>
        <w:rPr>
          <w:rFonts w:hint="eastAsia" w:ascii="楷体" w:hAnsi="楷体" w:eastAsia="楷体" w:cs="Calibri"/>
          <w:sz w:val="24"/>
          <w:szCs w:val="24"/>
        </w:rPr>
        <w:t>认购</w:t>
      </w:r>
      <w:r>
        <w:rPr>
          <w:rFonts w:ascii="楷体" w:hAnsi="楷体" w:eastAsia="楷体" w:cs="Calibri"/>
          <w:sz w:val="24"/>
          <w:szCs w:val="24"/>
        </w:rPr>
        <w:t>金额上限、认购资金的</w:t>
      </w:r>
      <w:r>
        <w:rPr>
          <w:rFonts w:hint="eastAsia" w:ascii="楷体" w:hAnsi="楷体" w:eastAsia="楷体" w:cs="Calibri"/>
          <w:sz w:val="24"/>
          <w:szCs w:val="24"/>
          <w:lang w:val="en-US" w:eastAsia="zh-CN"/>
        </w:rPr>
        <w:t>最低</w:t>
      </w:r>
      <w:r>
        <w:rPr>
          <w:rFonts w:ascii="楷体" w:hAnsi="楷体" w:eastAsia="楷体" w:cs="Calibri"/>
          <w:sz w:val="24"/>
          <w:szCs w:val="24"/>
        </w:rPr>
        <w:t>金额等</w:t>
      </w:r>
      <w:r>
        <w:rPr>
          <w:rFonts w:hint="eastAsia" w:ascii="楷体" w:hAnsi="楷体" w:eastAsia="楷体" w:cs="Calibri"/>
          <w:sz w:val="24"/>
          <w:szCs w:val="24"/>
        </w:rPr>
        <w:t>要素</w:t>
      </w:r>
      <w:r>
        <w:rPr>
          <w:rFonts w:ascii="楷体" w:hAnsi="楷体" w:eastAsia="楷体" w:cs="Calibri"/>
          <w:sz w:val="24"/>
          <w:szCs w:val="24"/>
        </w:rPr>
        <w:t>。</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有权依照法律规定和监管机构的要求将投资者的信息向有权部门或相关机构披露。</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理财产品投资管理人的名义，依照法律法规相关规定以及为理财产品的利益，对被投资的各类基金、公司/</w:t>
      </w:r>
      <w:r>
        <w:rPr>
          <w:rFonts w:hint="eastAsia" w:ascii="楷体" w:hAnsi="楷体" w:eastAsia="楷体" w:cs="Calibri"/>
          <w:sz w:val="24"/>
          <w:szCs w:val="24"/>
        </w:rPr>
        <w:t>企业</w:t>
      </w:r>
      <w:r>
        <w:rPr>
          <w:rFonts w:ascii="楷体" w:hAnsi="楷体" w:eastAsia="楷体" w:cs="Calibri"/>
          <w:sz w:val="24"/>
          <w:szCs w:val="24"/>
        </w:rPr>
        <w:t>等</w:t>
      </w:r>
      <w:r>
        <w:rPr>
          <w:rFonts w:hint="eastAsia" w:ascii="楷体" w:hAnsi="楷体" w:eastAsia="楷体" w:cs="Calibri"/>
          <w:sz w:val="24"/>
          <w:szCs w:val="24"/>
        </w:rPr>
        <w:t>行使</w:t>
      </w:r>
      <w:r>
        <w:rPr>
          <w:rFonts w:ascii="楷体" w:hAnsi="楷体" w:eastAsia="楷体" w:cs="Calibri"/>
          <w:sz w:val="24"/>
          <w:szCs w:val="24"/>
        </w:rPr>
        <w:t>出资人</w:t>
      </w:r>
      <w:r>
        <w:rPr>
          <w:rFonts w:hint="eastAsia" w:ascii="楷体" w:hAnsi="楷体" w:eastAsia="楷体" w:cs="Calibri"/>
          <w:sz w:val="24"/>
          <w:szCs w:val="24"/>
        </w:rPr>
        <w:t>/投资者</w:t>
      </w:r>
      <w:r>
        <w:rPr>
          <w:rFonts w:ascii="楷体" w:hAnsi="楷体" w:eastAsia="楷体" w:cs="Calibri"/>
          <w:sz w:val="24"/>
          <w:szCs w:val="24"/>
        </w:rPr>
        <w:t>权利（</w:t>
      </w:r>
      <w:r>
        <w:rPr>
          <w:rFonts w:hint="eastAsia" w:ascii="楷体" w:hAnsi="楷体" w:eastAsia="楷体" w:cs="Calibri"/>
          <w:sz w:val="24"/>
          <w:szCs w:val="24"/>
        </w:rPr>
        <w:t>包括</w:t>
      </w:r>
      <w:r>
        <w:rPr>
          <w:rFonts w:ascii="楷体" w:hAnsi="楷体" w:eastAsia="楷体" w:cs="Calibri"/>
          <w:sz w:val="24"/>
          <w:szCs w:val="24"/>
        </w:rPr>
        <w:t>但不限于表决投票的权利）</w:t>
      </w:r>
      <w:r>
        <w:rPr>
          <w:rFonts w:hint="eastAsia" w:ascii="楷体" w:hAnsi="楷体" w:eastAsia="楷体" w:cs="Calibri"/>
          <w:sz w:val="24"/>
          <w:szCs w:val="24"/>
        </w:rPr>
        <w:t>以及行使</w:t>
      </w:r>
      <w:r>
        <w:rPr>
          <w:rFonts w:ascii="楷体" w:hAnsi="楷体" w:eastAsia="楷体" w:cs="Calibri"/>
          <w:sz w:val="24"/>
          <w:szCs w:val="24"/>
        </w:rPr>
        <w:t>因理财产品投资于证券类基础资产（</w:t>
      </w:r>
      <w:r>
        <w:rPr>
          <w:rFonts w:hint="eastAsia" w:ascii="楷体" w:hAnsi="楷体" w:eastAsia="楷体" w:cs="Calibri"/>
          <w:sz w:val="24"/>
          <w:szCs w:val="24"/>
        </w:rPr>
        <w:t>含</w:t>
      </w:r>
      <w:r>
        <w:rPr>
          <w:rFonts w:ascii="楷体" w:hAnsi="楷体" w:eastAsia="楷体" w:cs="Calibri"/>
          <w:sz w:val="24"/>
          <w:szCs w:val="24"/>
        </w:rPr>
        <w:t>债券）</w:t>
      </w:r>
      <w:r>
        <w:rPr>
          <w:rFonts w:hint="eastAsia" w:ascii="楷体" w:hAnsi="楷体" w:eastAsia="楷体" w:cs="Calibri"/>
          <w:sz w:val="24"/>
          <w:szCs w:val="24"/>
        </w:rPr>
        <w:t>或</w:t>
      </w:r>
      <w:r>
        <w:rPr>
          <w:rFonts w:ascii="楷体" w:hAnsi="楷体" w:eastAsia="楷体" w:cs="Calibri"/>
          <w:sz w:val="24"/>
          <w:szCs w:val="24"/>
        </w:rPr>
        <w:t>其他基础资产（</w:t>
      </w:r>
      <w:r>
        <w:rPr>
          <w:rFonts w:hint="eastAsia" w:ascii="楷体" w:hAnsi="楷体" w:eastAsia="楷体" w:cs="Calibri"/>
          <w:sz w:val="24"/>
          <w:szCs w:val="24"/>
        </w:rPr>
        <w:t>包括</w:t>
      </w:r>
      <w:r>
        <w:rPr>
          <w:rFonts w:ascii="楷体" w:hAnsi="楷体" w:eastAsia="楷体" w:cs="Calibri"/>
          <w:sz w:val="24"/>
          <w:szCs w:val="24"/>
        </w:rPr>
        <w:t>但不限于债权类资产）</w:t>
      </w:r>
      <w:r>
        <w:rPr>
          <w:rFonts w:hint="eastAsia" w:ascii="楷体" w:hAnsi="楷体" w:eastAsia="楷体" w:cs="Calibri"/>
          <w:sz w:val="24"/>
          <w:szCs w:val="24"/>
        </w:rPr>
        <w:t>所产生</w:t>
      </w:r>
      <w:r>
        <w:rPr>
          <w:rFonts w:ascii="楷体" w:hAnsi="楷体" w:eastAsia="楷体" w:cs="Calibri"/>
          <w:sz w:val="24"/>
          <w:szCs w:val="24"/>
        </w:rPr>
        <w:t>的相关权利。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w:t>
      </w:r>
      <w:r>
        <w:rPr>
          <w:rFonts w:hint="eastAsia" w:ascii="楷体" w:hAnsi="楷体" w:eastAsia="楷体" w:cs="Calibri"/>
          <w:sz w:val="24"/>
          <w:szCs w:val="24"/>
        </w:rPr>
        <w:t>法律法规相关规定以及代表理财产品份额持有人的利益行使代为追索的权利（包括但不限于提起诉讼/仲裁、申请保全/执行的权利）或者实施其他法律行为。</w:t>
      </w:r>
    </w:p>
    <w:p>
      <w:pPr>
        <w:numPr>
          <w:ilvl w:val="0"/>
          <w:numId w:val="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法律法规、监管政策和本理财计划文件约定的其他权利。</w:t>
      </w:r>
    </w:p>
    <w:p>
      <w:pPr>
        <w:numPr>
          <w:ilvl w:val="0"/>
          <w:numId w:val="3"/>
        </w:numPr>
        <w:tabs>
          <w:tab w:val="left" w:pos="1134"/>
        </w:tabs>
        <w:ind w:firstLine="562" w:firstLineChars="200"/>
        <w:outlineLvl w:val="0"/>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yellow"/>
          <w:u w:val="none"/>
          <w:lang w:val="en-US" w:eastAsia="zh-CN"/>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2"/>
        <w:gridCol w:w="3473"/>
        <w:gridCol w:w="3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份额</w:t>
            </w:r>
          </w:p>
        </w:tc>
        <w:tc>
          <w:tcPr>
            <w:tcW w:w="431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A份额</w:t>
            </w:r>
          </w:p>
        </w:tc>
        <w:tc>
          <w:tcPr>
            <w:tcW w:w="3473" w:type="dxa"/>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江苏苏州农村商业银行股份有限公司</w:t>
            </w:r>
          </w:p>
        </w:tc>
        <w:tc>
          <w:tcPr>
            <w:tcW w:w="3884" w:type="dxa"/>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江苏大丰农村商业银行股份有限公司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宁波东海银行股份有限公司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江苏如皋农村商业银行股份有限公司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江苏扬州农村商业银行股份有限公司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江苏海安农村商业银行股份有限公司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江苏靖江农村商业银行股份有限公司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江苏泗洪农村商业银行股份有限公司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江苏新沂农村商业银行股份有限公司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江苏溧水农村商业银行股份有限公司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江苏洪泽农村商业银行股份有限公司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江苏宜兴农村商业银行股份有限公司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江苏盱眙农村商业银行股份有限公司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杭州银行股份有限公司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江苏沭阳农村商业银行股份有限公司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江苏江阴农村商业银行股份有限公司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江苏句容农村商业银行股份有限公司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江苏如东农村商业银行股份有限公司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江苏涟水农村商业银行股份有限公司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江苏紫金农村商业银行股份有限公司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江苏淮安农村商业银行股份有限公司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江苏邳州农村商业银行股份有限公司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江苏张家港农村商业银行股份有限公司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徐州农村商业银行股份有限公司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齐鲁银行股份有限公司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江苏扬中农村商业银行股份有限公司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江苏阜宁农村商业银行股份有限公司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江苏泰兴农村商业银行股份有限公司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江苏丹阳农村商业银行股份有限公司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江苏高淳农村商业银行股份有限公司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江苏东台农村商业银行股份有限公司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九江银行股份有限公司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上海银行股份有限公司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江苏启东农村商业银行股份有限公司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江苏仪征农村商业银行股份有限公司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江苏睢宁农村商业银行股份有限公司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682" w:type="pct"/>
            <w:vMerge w:val="continue"/>
            <w:tcBorders>
              <w:left w:val="single" w:color="000000"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深圳前海微众银行股份有限公司</w:t>
            </w:r>
          </w:p>
        </w:tc>
        <w:tc>
          <w:tcPr>
            <w:tcW w:w="2279"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auto"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C份额</w:t>
            </w:r>
          </w:p>
        </w:tc>
        <w:tc>
          <w:tcPr>
            <w:tcW w:w="3473" w:type="dxa"/>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齐鲁银行股份有限公司</w:t>
            </w:r>
          </w:p>
        </w:tc>
        <w:tc>
          <w:tcPr>
            <w:tcW w:w="3884" w:type="dxa"/>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威海银行股份有限公司</w:t>
            </w:r>
          </w:p>
        </w:tc>
        <w:tc>
          <w:tcPr>
            <w:tcW w:w="3884" w:type="dxa"/>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3473" w:type="dxa"/>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2279"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000000"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D份额</w:t>
            </w:r>
          </w:p>
        </w:tc>
        <w:tc>
          <w:tcPr>
            <w:tcW w:w="2038"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2279"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038" w:type="pct"/>
            <w:tcBorders>
              <w:top w:val="nil"/>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齐鲁银行股份有限公司</w:t>
            </w:r>
          </w:p>
        </w:tc>
        <w:tc>
          <w:tcPr>
            <w:tcW w:w="2279" w:type="pct"/>
            <w:tcBorders>
              <w:top w:val="nil"/>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宁波东海银行股份有限公司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038"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c>
          <w:tcPr>
            <w:tcW w:w="2279"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E份额</w:t>
            </w:r>
          </w:p>
        </w:tc>
        <w:tc>
          <w:tcPr>
            <w:tcW w:w="2038"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227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F份额</w:t>
            </w:r>
          </w:p>
        </w:tc>
        <w:tc>
          <w:tcPr>
            <w:tcW w:w="3473" w:type="dxa"/>
            <w:tcBorders>
              <w:top w:val="single" w:color="auto"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浙江萧山农村商业银行股份有限公司</w:t>
            </w:r>
          </w:p>
        </w:tc>
        <w:tc>
          <w:tcPr>
            <w:tcW w:w="3884" w:type="dxa"/>
            <w:tcBorders>
              <w:top w:val="single" w:color="auto"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徽商银行股份有限公司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浙江绍兴瑞丰农村商业银行股份有限公司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广州银行股份有限公司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浙江龙湾农村商业银行股份有限公司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浙江义乌农村商业银行股份有限公司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浙江德清农村商业银行股份有限公司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浙江衢州衢江农村商业银行股份有限公司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宁波慈溪农村商业银行股份有限公司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浙江富阳农村商业银行股份有限公司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浙江青田农村商业银行股份有限公司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浙江岱山农村商业银行股份有限公司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浙江台州路桥农村商业银行股份有限公司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浙江湖州吴兴农村商业银行股份有限公司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中邮邮惠万家银行有限责任公司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浙江建德农村商业银行股份有限公司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浙江淳安农村商业银行股份有限公司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宁波余姚农村商业银行股份有限公司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杭州联合农村商业银行股份有限公司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浙江平湖农村商业银行股份有限公司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交通银行股份有限公司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浙江海盐农村商业银行股份有限公司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北京农村商业银行股份有限公司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东营银行股份有限公司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广州农村商业银行股份有限公司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九江银行股份有限公司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浙江乐清农村商业银行股份有限公司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浙江文成农村商业银行股份有限公司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甘肃银行股份有限公司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台州银行股份有限公司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华侨银行有限公司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浙江宁海农村商业银行股份有限公司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深圳农村商业银行股份有限公司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莱商银行股份有限公司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浙江桐乡农村商业银行股份有限公司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浙江安吉农村商业银行股份有限公司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浙江诸暨农村商业银行股份有限公司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浙江温州鹿城农村商业银行股份有限公司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浙江长兴农村商业银行股份有限公司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山西银行股份有限公司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浙江余杭农村商业银行股份有限公司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福建海峡银行股份有限公司</w:t>
            </w:r>
          </w:p>
        </w:tc>
        <w:tc>
          <w:tcPr>
            <w:tcW w:w="3884" w:type="dxa"/>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浙江温岭农村商业银行股份有限公司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3473" w:type="dxa"/>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潍坊银行股份有限公司</w:t>
            </w:r>
          </w:p>
        </w:tc>
        <w:tc>
          <w:tcPr>
            <w:tcW w:w="227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W份额</w:t>
            </w:r>
          </w:p>
        </w:tc>
        <w:tc>
          <w:tcPr>
            <w:tcW w:w="2038" w:type="pct"/>
            <w:tcBorders>
              <w:top w:val="single" w:color="auto" w:sz="4" w:space="0"/>
              <w:left w:val="single" w:color="000000"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浙江网商银行股份有限公司</w:t>
            </w:r>
          </w:p>
        </w:tc>
        <w:tc>
          <w:tcPr>
            <w:tcW w:w="227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2" w:type="pct"/>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S份额</w:t>
            </w:r>
          </w:p>
        </w:tc>
        <w:tc>
          <w:tcPr>
            <w:tcW w:w="2038" w:type="pct"/>
            <w:tcBorders>
              <w:top w:val="single" w:color="auto" w:sz="4" w:space="0"/>
              <w:left w:val="single" w:color="000000" w:sz="4" w:space="0"/>
              <w:bottom w:val="single" w:color="auto" w:sz="4" w:space="0"/>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深圳农村商业银行股份有限公司</w:t>
            </w:r>
          </w:p>
        </w:tc>
        <w:tc>
          <w:tcPr>
            <w:tcW w:w="2279" w:type="pct"/>
            <w:tcBorders>
              <w:top w:val="single" w:color="auto" w:sz="4" w:space="0"/>
              <w:left w:val="nil"/>
              <w:bottom w:val="single" w:color="auto" w:sz="4" w:space="0"/>
              <w:right w:val="single" w:color="auto"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default" w:ascii="楷体" w:hAnsi="楷体" w:eastAsia="楷体" w:cs="楷体"/>
                <w:i w:val="0"/>
                <w:iCs w:val="0"/>
                <w:color w:val="000000"/>
                <w:sz w:val="18"/>
                <w:szCs w:val="18"/>
                <w:u w:val="none"/>
                <w:lang w:val="en-US" w:eastAsia="zh-CN"/>
              </w:rPr>
              <w:t>苏银理财有限责任公司</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b/>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w:t>
      </w:r>
      <w:r>
        <w:rPr>
          <w:rFonts w:hint="eastAsia" w:ascii="楷体" w:hAnsi="楷体" w:eastAsia="楷体"/>
          <w:sz w:val="24"/>
          <w:szCs w:val="24"/>
          <w:lang w:val="en-US" w:eastAsia="zh-CN"/>
        </w:rPr>
        <w:t>包括</w:t>
      </w:r>
      <w:r>
        <w:rPr>
          <w:rFonts w:hint="eastAsia" w:ascii="楷体" w:hAnsi="楷体" w:eastAsia="楷体"/>
          <w:sz w:val="24"/>
          <w:szCs w:val="24"/>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883"/>
        <w:gridCol w:w="4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1691"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lang w:val="en-US" w:eastAsia="zh-CN"/>
              </w:rPr>
              <w:t>苏豪</w:t>
            </w:r>
            <w:r>
              <w:rPr>
                <w:rFonts w:hint="eastAsia" w:ascii="楷体" w:hAnsi="楷体" w:eastAsia="楷体"/>
                <w:b w:val="0"/>
                <w:bCs w:val="0"/>
                <w:sz w:val="20"/>
                <w:szCs w:val="20"/>
              </w:rPr>
              <w:t>弘业期货股份有限公司</w:t>
            </w:r>
          </w:p>
        </w:tc>
        <w:tc>
          <w:tcPr>
            <w:tcW w:w="2919" w:type="pct"/>
            <w:noWrap w:val="0"/>
            <w:vAlign w:val="top"/>
          </w:tcPr>
          <w:p>
            <w:pPr>
              <w:pStyle w:val="1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eastAsia" w:ascii="楷体" w:hAnsi="楷体" w:eastAsia="楷体"/>
                <w:b w:val="0"/>
                <w:bCs w:val="0"/>
                <w:sz w:val="20"/>
                <w:szCs w:val="20"/>
                <w:vertAlign w:val="baseline"/>
              </w:rPr>
            </w:pPr>
            <w:r>
              <w:rPr>
                <w:rFonts w:hint="default" w:ascii="楷体" w:hAnsi="楷体" w:eastAsia="楷体" w:cs="Times New Roman"/>
                <w:b w:val="0"/>
                <w:bCs w:val="0"/>
                <w:kern w:val="2"/>
                <w:sz w:val="20"/>
                <w:szCs w:val="20"/>
                <w:lang w:val="en-US" w:eastAsia="zh-CN" w:bidi="ar-SA"/>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r>
              <w:rPr>
                <w:rFonts w:hint="eastAsia" w:ascii="楷体" w:hAnsi="楷体" w:eastAsia="楷体" w:cs="Times New Roman"/>
                <w:b w:val="0"/>
                <w:bCs w:val="0"/>
                <w:kern w:val="2"/>
                <w:sz w:val="20"/>
                <w:szCs w:val="20"/>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hint="eastAsia" w:ascii="楷体" w:hAnsi="楷体" w:eastAsia="楷体"/>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楷体" w:hAnsi="楷体" w:eastAsia="楷体"/>
                <w:b w:val="0"/>
                <w:bCs w:val="0"/>
                <w:sz w:val="20"/>
                <w:szCs w:val="20"/>
                <w:vertAlign w:val="baseline"/>
              </w:rPr>
            </w:pPr>
            <w:r>
              <w:rPr>
                <w:rFonts w:ascii="楷体" w:hAnsi="楷体" w:eastAsia="楷体"/>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ascii="楷体" w:hAnsi="楷体" w:eastAsia="楷体"/>
                <w:b w:val="0"/>
                <w:bCs w:val="0"/>
                <w:sz w:val="20"/>
                <w:szCs w:val="18"/>
              </w:rPr>
            </w:pPr>
            <w:r>
              <w:rPr>
                <w:rFonts w:hint="eastAsia" w:ascii="楷体" w:hAnsi="楷体" w:eastAsia="楷体"/>
                <w:b w:val="0"/>
                <w:bCs w:val="0"/>
                <w:sz w:val="20"/>
                <w:szCs w:val="18"/>
              </w:rPr>
              <w:t>中粮信托有限责任公司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楷体" w:hAnsi="楷体" w:eastAsia="楷体"/>
                <w:b w:val="0"/>
                <w:bCs w:val="0"/>
                <w:sz w:val="20"/>
                <w:szCs w:val="18"/>
              </w:rPr>
            </w:pPr>
            <w:r>
              <w:rPr>
                <w:rFonts w:hint="eastAsia" w:ascii="楷体" w:hAnsi="楷体" w:eastAsia="楷体"/>
                <w:b w:val="0"/>
                <w:bCs w:val="0"/>
                <w:sz w:val="20"/>
                <w:szCs w:val="18"/>
              </w:rPr>
              <w:t>中粮信托有限责任公司成立于2009年7月27日，是中国银行保险监督管理委员会核准的国有控股金融机构，注册资本28.3095亿元，前三大股东分别为中粮资本投资有限公司、蒙特利尔银行、中粮财务有限责任公司。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1691" w:type="pct"/>
            <w:noWrap w:val="0"/>
            <w:vAlign w:val="center"/>
          </w:tcPr>
          <w:p>
            <w:pPr>
              <w:keepNext w:val="0"/>
              <w:keepLines w:val="0"/>
              <w:widowControl/>
              <w:suppressLineNumbers w:val="0"/>
              <w:jc w:val="center"/>
              <w:textAlignment w:val="center"/>
              <w:rPr>
                <w:rFonts w:hint="eastAsia" w:ascii="楷体" w:hAnsi="楷体" w:eastAsia="楷体" w:cs="Times New Roman"/>
                <w:b w:val="0"/>
                <w:bCs w:val="0"/>
                <w:kern w:val="2"/>
                <w:sz w:val="20"/>
                <w:szCs w:val="18"/>
                <w:lang w:val="en-US" w:eastAsia="zh-CN" w:bidi="ar-SA"/>
              </w:rPr>
            </w:pPr>
            <w:r>
              <w:rPr>
                <w:rFonts w:hint="eastAsia" w:ascii="楷体" w:hAnsi="楷体" w:eastAsia="楷体" w:cs="楷体"/>
                <w:i w:val="0"/>
                <w:iCs w:val="0"/>
                <w:color w:val="000000"/>
                <w:kern w:val="0"/>
                <w:sz w:val="20"/>
                <w:szCs w:val="20"/>
                <w:u w:val="none"/>
                <w:lang w:val="en-US" w:eastAsia="zh-CN" w:bidi="ar"/>
              </w:rPr>
              <w:t>东方财富证券股份有限公司</w:t>
            </w:r>
          </w:p>
        </w:tc>
        <w:tc>
          <w:tcPr>
            <w:tcW w:w="2919" w:type="pct"/>
            <w:noWrap w:val="0"/>
            <w:vAlign w:val="center"/>
          </w:tcPr>
          <w:p>
            <w:pPr>
              <w:keepNext w:val="0"/>
              <w:keepLines w:val="0"/>
              <w:widowControl/>
              <w:suppressLineNumbers w:val="0"/>
              <w:jc w:val="both"/>
              <w:textAlignment w:val="center"/>
              <w:rPr>
                <w:rFonts w:hint="eastAsia" w:ascii="楷体" w:hAnsi="楷体" w:eastAsia="楷体" w:cs="Times New Roman"/>
                <w:b w:val="0"/>
                <w:bCs w:val="0"/>
                <w:kern w:val="2"/>
                <w:sz w:val="20"/>
                <w:szCs w:val="18"/>
                <w:lang w:val="en-US" w:eastAsia="zh-CN" w:bidi="ar-SA"/>
              </w:rPr>
            </w:pPr>
            <w:r>
              <w:rPr>
                <w:rFonts w:hint="eastAsia" w:ascii="楷体" w:hAnsi="楷体" w:eastAsia="楷体" w:cs="楷体"/>
                <w:i w:val="0"/>
                <w:iCs w:val="0"/>
                <w:color w:val="000000"/>
                <w:kern w:val="0"/>
                <w:sz w:val="20"/>
                <w:szCs w:val="20"/>
                <w:u w:val="none"/>
                <w:lang w:val="en-US" w:eastAsia="zh-CN" w:bidi="ar"/>
              </w:rPr>
              <w:t>东方财富证券股份有限公司，简称“东方财富证券”，是东方财富信息股份有限公司旗下的持牌证券公司，始终坚持用户第一，注重科技赋能、投研管理建设，旨在为客户提供全方位的财富管理服务。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6</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华润深国投信托有限公司</w:t>
            </w:r>
          </w:p>
        </w:tc>
        <w:tc>
          <w:tcPr>
            <w:tcW w:w="2919" w:type="pct"/>
            <w:noWrap w:val="0"/>
            <w:vAlign w:val="center"/>
          </w:tcPr>
          <w:p>
            <w:pPr>
              <w:keepNext w:val="0"/>
              <w:keepLines w:val="0"/>
              <w:widowControl/>
              <w:suppressLineNumbers w:val="0"/>
              <w:jc w:val="both"/>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华润信托于1982年8月24日成立，原名为深圳市信托投资公司，注册资本人民币 5,813万元。目前，公司注册资本人民币110亿元，华润金控投资有限公司持有公司51%股权，深圳市投资控股有限公司持有公司49%股权。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7</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国投泰康信托有限公司</w:t>
            </w:r>
          </w:p>
        </w:tc>
        <w:tc>
          <w:tcPr>
            <w:tcW w:w="2919" w:type="pct"/>
            <w:noWrap w:val="0"/>
            <w:vAlign w:val="center"/>
          </w:tcPr>
          <w:p>
            <w:pPr>
              <w:keepNext w:val="0"/>
              <w:keepLines w:val="0"/>
              <w:widowControl/>
              <w:suppressLineNumbers w:val="0"/>
              <w:jc w:val="both"/>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8</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永诚保险资产管理有限公司</w:t>
            </w:r>
          </w:p>
        </w:tc>
        <w:tc>
          <w:tcPr>
            <w:tcW w:w="2919" w:type="pct"/>
            <w:noWrap w:val="0"/>
            <w:vAlign w:val="center"/>
          </w:tcPr>
          <w:p>
            <w:pPr>
              <w:keepNext w:val="0"/>
              <w:keepLines w:val="0"/>
              <w:widowControl/>
              <w:suppressLineNumbers w:val="0"/>
              <w:jc w:val="both"/>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永诚保险资产管理有限公司（简称“永诚资产”）是由永诚财产保险股份有限公司全资发起组建的保险资产管理公司，公司注册于浙江省宁波市，注册资本金为人民币3亿元。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9</w:t>
            </w:r>
          </w:p>
        </w:tc>
        <w:tc>
          <w:tcPr>
            <w:tcW w:w="1691" w:type="pct"/>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华鑫证券有限责任公司</w:t>
            </w:r>
          </w:p>
        </w:tc>
        <w:tc>
          <w:tcPr>
            <w:tcW w:w="2919" w:type="pct"/>
            <w:noWrap w:val="0"/>
            <w:vAlign w:val="center"/>
          </w:tcPr>
          <w:p>
            <w:pPr>
              <w:keepNext w:val="0"/>
              <w:keepLines w:val="0"/>
              <w:widowControl/>
              <w:suppressLineNumbers w:val="0"/>
              <w:jc w:val="both"/>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华鑫证券有限责任公司是经中国证券监督管理委员会批准于2001年3月在深圳市注册成立的全国性综合类证券经营机构，注册资本36亿元人民币。</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参与主体用语</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★管理人/产品管理人/理财产品管理人：指苏银理财有限责任公司（本文简称“苏银理财”）。</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cs="Calibri"/>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投资者：指符合相关法律法规、监管规定要求的，可以购买理财产品份额的自然人和法人。</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理财产品用语</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w:t>
      </w:r>
      <w:r>
        <w:rPr>
          <w:rFonts w:ascii="楷体" w:hAnsi="楷体" w:eastAsia="楷体" w:cs="Calibri"/>
          <w:sz w:val="24"/>
          <w:szCs w:val="24"/>
        </w:rPr>
        <w:t>/</w:t>
      </w:r>
      <w:r>
        <w:rPr>
          <w:rFonts w:hint="eastAsia" w:ascii="楷体" w:hAnsi="楷体" w:eastAsia="楷体" w:cs="Calibri"/>
          <w:sz w:val="24"/>
          <w:szCs w:val="24"/>
        </w:rPr>
        <w:t>产品：指苏银理财按照约定条件和实际投资收益情况向投资者支付收益、不保证本金支付和收益水平的非保本理财产品。</w:t>
      </w:r>
    </w:p>
    <w:p>
      <w:pPr>
        <w:numPr>
          <w:ilvl w:val="0"/>
          <w:numId w:val="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ascii="楷体" w:hAnsi="楷体" w:eastAsia="楷体" w:cs="Calibri"/>
          <w:sz w:val="24"/>
          <w:szCs w:val="24"/>
        </w:rPr>
        <w:t>/</w:t>
      </w:r>
      <w:r>
        <w:rPr>
          <w:rFonts w:hint="eastAsia" w:ascii="楷体" w:hAnsi="楷体" w:eastAsia="楷体" w:cs="Calibri"/>
          <w:sz w:val="24"/>
          <w:szCs w:val="24"/>
        </w:rPr>
        <w:t>本产品：指“苏银理财</w:t>
      </w:r>
      <w:r>
        <w:rPr>
          <w:rFonts w:hint="eastAsia" w:ascii="楷体" w:hAnsi="楷体" w:eastAsia="楷体" w:cs="Calibri"/>
          <w:sz w:val="24"/>
          <w:szCs w:val="24"/>
          <w:lang w:eastAsia="zh-CN"/>
        </w:rPr>
        <w:t>恒源季开放2号</w:t>
      </w:r>
      <w:r>
        <w:rPr>
          <w:rFonts w:hint="eastAsia" w:ascii="楷体" w:hAnsi="楷体" w:eastAsia="楷体" w:cs="Calibri"/>
          <w:sz w:val="24"/>
          <w:szCs w:val="24"/>
        </w:rPr>
        <w:t>”理财产品。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理财产品登记编码：指本款理财产品在全国银行业理财信息登记系统中的编码，投资者可在中国理财网进行查询该编码。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理财产品代码/产品代码：指本款理财产品在全国银行业理财信息登记系统中登记的内部识别码。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理财产品份额：指投资者持有本理财产品的单位数额。投资者基于其所持有的理财产品单位数额享有理财产品利益、承担理财产品风险。</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理财产品资产净值/理财资产净值/产品资产净值：产品资产净值=产品资产总值-产品负债总值。</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产品资产总值</w:t>
      </w:r>
      <w:r>
        <w:rPr>
          <w:rFonts w:hint="eastAsia" w:ascii="楷体" w:hAnsi="楷体" w:eastAsia="楷体" w:cs="Calibri"/>
          <w:sz w:val="24"/>
          <w:szCs w:val="24"/>
          <w:lang w:eastAsia="zh-CN"/>
        </w:rPr>
        <w:t>：</w:t>
      </w:r>
      <w:r>
        <w:rPr>
          <w:rFonts w:hint="eastAsia" w:ascii="楷体" w:hAnsi="楷体" w:eastAsia="楷体" w:cs="Calibri"/>
          <w:sz w:val="24"/>
          <w:szCs w:val="24"/>
        </w:rPr>
        <w:t>指产品拥有的各类有价证券、银行存款、应收款项及其他资产的价值总和。</w:t>
      </w:r>
    </w:p>
    <w:p>
      <w:pPr>
        <w:numPr>
          <w:ilvl w:val="0"/>
          <w:numId w:val="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产品负债总值</w:t>
      </w:r>
      <w:r>
        <w:rPr>
          <w:rFonts w:hint="eastAsia" w:ascii="楷体" w:hAnsi="楷体" w:eastAsia="楷体" w:cs="Calibri"/>
          <w:sz w:val="24"/>
          <w:szCs w:val="24"/>
          <w:lang w:eastAsia="zh-CN"/>
        </w:rPr>
        <w:t>：</w:t>
      </w:r>
      <w:r>
        <w:rPr>
          <w:rFonts w:hint="eastAsia" w:ascii="楷体" w:hAnsi="楷体" w:eastAsia="楷体" w:cs="Calibri"/>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cs="Calibri"/>
          <w:sz w:val="24"/>
          <w:szCs w:val="24"/>
          <w:lang w:val="en-US" w:eastAsia="zh-CN"/>
        </w:rPr>
        <w:t>份额</w:t>
      </w:r>
      <w:r>
        <w:rPr>
          <w:rFonts w:hint="eastAsia" w:ascii="楷体" w:hAnsi="楷体" w:eastAsia="楷体" w:cs="Calibri"/>
          <w:sz w:val="24"/>
          <w:szCs w:val="24"/>
        </w:rPr>
        <w:t>单位净值进行理财产品申购、赎回和终止时分配。</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理财产品估值：指计算评估理财产品资产和负债以确定理财产品单位净值的过程。</w:t>
      </w:r>
    </w:p>
    <w:p>
      <w:pPr>
        <w:numPr>
          <w:ilvl w:val="0"/>
          <w:numId w:val="7"/>
        </w:numPr>
        <w:tabs>
          <w:tab w:val="left" w:pos="851"/>
        </w:tabs>
        <w:ind w:left="0" w:firstLine="482" w:firstLineChars="200"/>
        <w:rPr>
          <w:rFonts w:hint="eastAsia" w:ascii="楷体" w:hAnsi="楷体" w:eastAsia="楷体" w:cs="Calibri"/>
          <w:b/>
          <w:sz w:val="24"/>
          <w:szCs w:val="24"/>
        </w:rPr>
      </w:pPr>
      <w:r>
        <w:rPr>
          <w:rFonts w:hint="eastAsia" w:ascii="楷体" w:hAnsi="楷体" w:eastAsia="楷体" w:cs="Calibri"/>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★理财产品收益/理财收益：指投资者投资理财产品获得的投资收益，该收益为其获得分配的全部理财产品利益中扣除理财产品本金的部分。</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认购：指投资者根据理财产品说明书约定在募集期内申请购买本产品理财产品份额的行为。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7"/>
        </w:numPr>
        <w:tabs>
          <w:tab w:val="left" w:pos="851"/>
        </w:tabs>
        <w:ind w:left="0" w:firstLine="480" w:firstLineChars="200"/>
        <w:rPr>
          <w:rFonts w:hint="eastAsia" w:ascii="楷体" w:hAnsi="楷体" w:eastAsia="楷体" w:cs="Calibri"/>
          <w:sz w:val="24"/>
          <w:szCs w:val="24"/>
        </w:rPr>
      </w:pPr>
      <w:r>
        <w:rPr>
          <w:rFonts w:ascii="楷体" w:hAnsi="楷体" w:eastAsia="楷体" w:cs="Calibri"/>
          <w:sz w:val="24"/>
          <w:szCs w:val="24"/>
        </w:rPr>
        <w:t>申购、赎回申请</w:t>
      </w:r>
      <w:r>
        <w:rPr>
          <w:rFonts w:hint="eastAsia" w:ascii="楷体" w:hAnsi="楷体" w:eastAsia="楷体" w:cs="Calibri"/>
          <w:sz w:val="24"/>
          <w:szCs w:val="24"/>
        </w:rPr>
        <w:t>：</w:t>
      </w:r>
      <w:r>
        <w:rPr>
          <w:rFonts w:ascii="楷体" w:hAnsi="楷体" w:eastAsia="楷体" w:cs="Calibri"/>
          <w:sz w:val="24"/>
          <w:szCs w:val="24"/>
        </w:rPr>
        <w:t>指在</w:t>
      </w:r>
      <w:r>
        <w:rPr>
          <w:rFonts w:hint="eastAsia" w:ascii="楷体" w:hAnsi="楷体" w:eastAsia="楷体" w:cs="Calibri"/>
          <w:sz w:val="24"/>
          <w:szCs w:val="24"/>
        </w:rPr>
        <w:t>理财产品开放日</w:t>
      </w:r>
      <w:r>
        <w:rPr>
          <w:rFonts w:ascii="楷体" w:hAnsi="楷体" w:eastAsia="楷体" w:cs="Calibri"/>
          <w:sz w:val="24"/>
          <w:szCs w:val="24"/>
        </w:rPr>
        <w:t>投资者向</w:t>
      </w:r>
      <w:r>
        <w:rPr>
          <w:rFonts w:hint="eastAsia" w:ascii="楷体" w:hAnsi="楷体" w:eastAsia="楷体" w:cs="Calibri"/>
          <w:sz w:val="24"/>
          <w:szCs w:val="24"/>
        </w:rPr>
        <w:t>理财产品管理人</w:t>
      </w:r>
      <w:r>
        <w:rPr>
          <w:rFonts w:ascii="楷体" w:hAnsi="楷体" w:eastAsia="楷体" w:cs="Calibri"/>
          <w:sz w:val="24"/>
          <w:szCs w:val="24"/>
        </w:rPr>
        <w:t>提出申请对理财</w:t>
      </w:r>
      <w:r>
        <w:rPr>
          <w:rFonts w:hint="eastAsia" w:ascii="楷体" w:hAnsi="楷体" w:eastAsia="楷体" w:cs="Calibri"/>
          <w:sz w:val="24"/>
          <w:szCs w:val="24"/>
        </w:rPr>
        <w:t>产品</w:t>
      </w:r>
      <w:r>
        <w:rPr>
          <w:rFonts w:ascii="楷体" w:hAnsi="楷体" w:eastAsia="楷体" w:cs="Calibri"/>
          <w:sz w:val="24"/>
          <w:szCs w:val="24"/>
        </w:rPr>
        <w:t>份额进行购买或卖出的行为。</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巨额赎回：理财产品每个开放日投资者净赎回额（赎回申请份额总数扣除申购申请份额总数）超过本理财产品上一工作日日终份额10%时，即为发生巨额赎回。</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流动性受限资产：</w:t>
      </w:r>
      <w:r>
        <w:rPr>
          <w:rFonts w:hint="eastAsia" w:ascii="楷体" w:hAnsi="楷体" w:eastAsia="楷体" w:cs="Calibri"/>
          <w:kern w:val="2"/>
          <w:sz w:val="24"/>
          <w:szCs w:val="24"/>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lang w:val="en-US" w:eastAsia="zh-CN"/>
        </w:rPr>
        <w:t>法律法规或监管机构另有规定的，从其规定。</w:t>
      </w:r>
    </w:p>
    <w:p>
      <w:pPr>
        <w:numPr>
          <w:ilvl w:val="0"/>
          <w:numId w:val="7"/>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kern w:val="2"/>
          <w:sz w:val="24"/>
          <w:szCs w:val="24"/>
        </w:rPr>
        <w:t>7个工作日可变现资产</w:t>
      </w:r>
      <w:r>
        <w:rPr>
          <w:rFonts w:hint="eastAsia" w:ascii="楷体" w:hAnsi="楷体" w:eastAsia="楷体" w:cs="Calibri"/>
          <w:kern w:val="2"/>
          <w:sz w:val="24"/>
          <w:szCs w:val="24"/>
          <w:lang w:eastAsia="zh-CN"/>
        </w:rPr>
        <w:t>：</w:t>
      </w:r>
      <w:r>
        <w:rPr>
          <w:rFonts w:hint="eastAsia" w:ascii="楷体" w:hAnsi="楷体" w:eastAsia="楷体" w:cs="Calibri"/>
          <w:kern w:val="2"/>
          <w:sz w:val="24"/>
          <w:szCs w:val="24"/>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期间与日期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工作日：指国家法定工作日。</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交易日：</w:t>
      </w:r>
      <w:r>
        <w:rPr>
          <w:rFonts w:ascii="楷体" w:hAnsi="楷体" w:eastAsia="楷体" w:cs="Calibri"/>
          <w:sz w:val="24"/>
          <w:szCs w:val="24"/>
        </w:rPr>
        <w:t>指上海证券交易所和深圳证券交易所的正常开盘交易日</w:t>
      </w:r>
      <w:r>
        <w:rPr>
          <w:rFonts w:hint="eastAsia" w:ascii="楷体" w:hAnsi="楷体" w:eastAsia="楷体" w:cs="Calibri"/>
          <w:sz w:val="24"/>
          <w:szCs w:val="24"/>
        </w:rPr>
        <w:t>。</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成立日：指本产品开始运作的日期。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份额登记日/份额确认日：指管理人对投资者提交的认购申请进行份额登记的日期。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终止日/到期日：指本产品终止的日期。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估值日：指产品管理人对理财产品项下资产进行估值的日期。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兑付日：指投资者理财资金到达投资者资金账户的日期。</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募集期：指理财产品成立前，理财产品管理人接受理财产品认购的时间。</w:t>
      </w:r>
    </w:p>
    <w:p>
      <w:pPr>
        <w:numPr>
          <w:ilvl w:val="0"/>
          <w:numId w:val="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8"/>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开放日：指投资周期终止日。开放计划内的申购、赎回申请，将以开放日的净值进行确认。</w:t>
      </w:r>
    </w:p>
    <w:p>
      <w:pPr>
        <w:numPr>
          <w:ilvl w:val="0"/>
          <w:numId w:val="8"/>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产品存续期：指自理财产品成立日起，至理财产品终止日的期间。</w:t>
      </w:r>
    </w:p>
    <w:p>
      <w:pPr>
        <w:numPr>
          <w:ilvl w:val="0"/>
          <w:numId w:val="5"/>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其他</w:t>
      </w:r>
    </w:p>
    <w:p>
      <w:pPr>
        <w:numPr>
          <w:ilvl w:val="0"/>
          <w:numId w:val="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元：指人民币元。</w:t>
      </w:r>
    </w:p>
    <w:p>
      <w:pPr>
        <w:numPr>
          <w:ilvl w:val="0"/>
          <w:numId w:val="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lang w:val="en-US" w:eastAsia="zh-CN"/>
        </w:rPr>
        <w:t>不可抗力：指理财产品合同各方当事人所不能预见、不能避免且不能克服的客观情况，使得任何一方当事人无法及时履行理财合同的全部或部分义务，该类事件包括但不限于：</w:t>
      </w:r>
    </w:p>
    <w:p>
      <w:pPr>
        <w:numPr>
          <w:ilvl w:val="0"/>
          <w:numId w:val="10"/>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10"/>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cs="Calibri"/>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val="en-US"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如本产品通过代理销售机构渠道销售，</w:t>
      </w:r>
      <w:r>
        <w:rPr>
          <w:rFonts w:hint="eastAsia" w:ascii="楷体" w:hAnsi="楷体" w:eastAsia="楷体"/>
          <w:sz w:val="24"/>
          <w:szCs w:val="24"/>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投资管理</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投资范围和比例</w:t>
      </w:r>
    </w:p>
    <w:p>
      <w:pPr>
        <w:ind w:firstLine="480" w:firstLineChars="200"/>
        <w:rPr>
          <w:rFonts w:hint="eastAsia"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本理财产品</w:t>
      </w:r>
      <w:r>
        <w:rPr>
          <w:rFonts w:hint="eastAsia" w:ascii="楷体" w:hAnsi="楷体" w:eastAsia="楷体"/>
          <w:sz w:val="24"/>
          <w:szCs w:val="24"/>
        </w:rPr>
        <w:t>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非标准化债权资产，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lang w:eastAsia="zh-CN"/>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r>
        <w:rPr>
          <w:rFonts w:hint="eastAsia" w:ascii="楷体" w:hAnsi="楷体" w:eastAsia="楷体"/>
          <w:sz w:val="24"/>
          <w:szCs w:val="24"/>
          <w:lang w:eastAsia="zh-CN"/>
        </w:rPr>
        <w:t>。</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投资集中度限制</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本产品持有单只证券或者单只公募证券投资基金的市值不得超过产品净资产的</w:t>
      </w:r>
      <w:r>
        <w:rPr>
          <w:rFonts w:ascii="楷体" w:hAnsi="楷体" w:eastAsia="楷体" w:cs="Calibri"/>
          <w:sz w:val="24"/>
          <w:szCs w:val="24"/>
        </w:rPr>
        <w:t>10%</w:t>
      </w:r>
      <w:r>
        <w:rPr>
          <w:rFonts w:hint="eastAsia" w:ascii="楷体" w:hAnsi="楷体" w:eastAsia="楷体" w:cs="Calibri"/>
          <w:sz w:val="24"/>
          <w:szCs w:val="24"/>
        </w:rPr>
        <w:t>。</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管理人全部公募产品持有单只证券或单只公募证券投资基金的市值，不得超过该证券市值或该公募证券投资基金市值的</w:t>
      </w:r>
      <w:r>
        <w:rPr>
          <w:rFonts w:ascii="楷体" w:hAnsi="楷体" w:eastAsia="楷体" w:cs="Calibri"/>
          <w:sz w:val="24"/>
          <w:szCs w:val="24"/>
        </w:rPr>
        <w:t>30%</w:t>
      </w:r>
      <w:r>
        <w:rPr>
          <w:rFonts w:hint="eastAsia" w:ascii="楷体" w:hAnsi="楷体" w:eastAsia="楷体" w:cs="Calibri"/>
          <w:sz w:val="24"/>
          <w:szCs w:val="24"/>
        </w:rPr>
        <w:t>。</w:t>
      </w:r>
    </w:p>
    <w:p>
      <w:pPr>
        <w:numPr>
          <w:ilvl w:val="0"/>
          <w:numId w:val="1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1"/>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产品认购</w:t>
      </w:r>
    </w:p>
    <w:p>
      <w:pPr>
        <w:numPr>
          <w:ilvl w:val="0"/>
          <w:numId w:val="13"/>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rPr>
        <w:t>认购期间：</w:t>
      </w:r>
      <w:r>
        <w:rPr>
          <w:rFonts w:hint="eastAsia" w:ascii="楷体" w:hAnsi="楷体" w:eastAsia="楷体"/>
          <w:sz w:val="24"/>
          <w:szCs w:val="24"/>
          <w:lang w:eastAsia="zh-CN"/>
        </w:rPr>
        <w:t>2022年1月13日9:00至2022年1月20日17:00</w:t>
      </w:r>
      <w:r>
        <w:rPr>
          <w:rFonts w:hint="eastAsia" w:ascii="楷体" w:hAnsi="楷体" w:eastAsia="楷体" w:cs="Calibri"/>
          <w:sz w:val="24"/>
          <w:szCs w:val="24"/>
        </w:rPr>
        <w:t>。</w:t>
      </w:r>
      <w:r>
        <w:rPr>
          <w:rFonts w:hint="eastAsia" w:ascii="楷体" w:hAnsi="楷体" w:eastAsia="楷体"/>
          <w:sz w:val="24"/>
          <w:szCs w:val="24"/>
        </w:rPr>
        <w:t>（以各销售机构设置的认购时间为准）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认购方式：本理财产品可在各销售机构指定渠道进行认购。</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后，视为投资者的认购申请生效。投资者应在理财产品成立后及时查询最终的成交情况以及认购的份额。</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highlight w:val="none"/>
        </w:rPr>
        <w:t>单笔认购起点金额</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追加金额</w:t>
      </w:r>
      <w:r>
        <w:rPr>
          <w:rFonts w:hint="eastAsia" w:ascii="楷体" w:hAnsi="楷体" w:eastAsia="楷体" w:cs="Calibri"/>
          <w:sz w:val="24"/>
          <w:szCs w:val="24"/>
          <w:highlight w:val="none"/>
          <w:lang w:eastAsia="zh-CN"/>
        </w:rPr>
        <w:t>：</w:t>
      </w:r>
      <w:r>
        <w:rPr>
          <w:rFonts w:hint="eastAsia" w:ascii="楷体" w:hAnsi="楷体" w:eastAsia="楷体" w:cs="Calibri"/>
          <w:sz w:val="24"/>
          <w:szCs w:val="24"/>
        </w:rPr>
        <w:t>本理财产品</w:t>
      </w:r>
      <w:r>
        <w:rPr>
          <w:rFonts w:hint="eastAsia" w:ascii="楷体" w:hAnsi="楷体" w:eastAsia="楷体" w:cs="宋体"/>
          <w:spacing w:val="-2"/>
          <w:sz w:val="24"/>
          <w:szCs w:val="24"/>
        </w:rPr>
        <w:t>A份额</w:t>
      </w:r>
      <w:r>
        <w:rPr>
          <w:rFonts w:hint="eastAsia" w:ascii="楷体" w:hAnsi="楷体" w:eastAsia="楷体"/>
          <w:sz w:val="24"/>
          <w:szCs w:val="24"/>
        </w:rPr>
        <w:t>投资者单笔认购起点金额为</w:t>
      </w:r>
      <w:r>
        <w:rPr>
          <w:rFonts w:ascii="楷体" w:hAnsi="楷体" w:eastAsia="楷体"/>
          <w:sz w:val="24"/>
          <w:szCs w:val="24"/>
        </w:rPr>
        <w:t>1</w:t>
      </w:r>
      <w:r>
        <w:rPr>
          <w:rFonts w:hint="eastAsia" w:ascii="楷体" w:hAnsi="楷体" w:eastAsia="楷体"/>
          <w:sz w:val="24"/>
          <w:szCs w:val="24"/>
        </w:rPr>
        <w:t>元，追加金额为</w:t>
      </w:r>
      <w:r>
        <w:rPr>
          <w:rFonts w:ascii="楷体" w:hAnsi="楷体" w:eastAsia="楷体"/>
          <w:sz w:val="24"/>
          <w:szCs w:val="24"/>
        </w:rPr>
        <w:t>1</w:t>
      </w:r>
      <w:r>
        <w:rPr>
          <w:rFonts w:hint="eastAsia" w:ascii="楷体" w:hAnsi="楷体" w:eastAsia="楷体"/>
          <w:sz w:val="24"/>
          <w:szCs w:val="24"/>
        </w:rPr>
        <w:t>元的整数倍；</w:t>
      </w:r>
      <w:r>
        <w:rPr>
          <w:rFonts w:ascii="楷体" w:hAnsi="楷体" w:eastAsia="楷体" w:cs="宋体"/>
          <w:spacing w:val="-2"/>
          <w:sz w:val="24"/>
          <w:szCs w:val="24"/>
        </w:rPr>
        <w:t>C</w:t>
      </w:r>
      <w:r>
        <w:rPr>
          <w:rFonts w:hint="eastAsia" w:ascii="楷体" w:hAnsi="楷体" w:eastAsia="楷体" w:cs="宋体"/>
          <w:spacing w:val="-2"/>
          <w:sz w:val="24"/>
          <w:szCs w:val="24"/>
        </w:rPr>
        <w:t>份额</w:t>
      </w:r>
      <w:r>
        <w:rPr>
          <w:rFonts w:hint="eastAsia" w:ascii="楷体" w:hAnsi="楷体" w:eastAsia="楷体"/>
          <w:sz w:val="24"/>
          <w:szCs w:val="24"/>
        </w:rPr>
        <w:t>投资者单笔认购起点金额为</w:t>
      </w:r>
      <w:r>
        <w:rPr>
          <w:rFonts w:ascii="楷体" w:hAnsi="楷体" w:eastAsia="楷体"/>
          <w:sz w:val="24"/>
          <w:szCs w:val="24"/>
        </w:rPr>
        <w:t>1</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ascii="楷体" w:hAnsi="楷体" w:eastAsia="楷体" w:cs="宋体"/>
          <w:spacing w:val="-2"/>
          <w:sz w:val="24"/>
          <w:szCs w:val="24"/>
        </w:rPr>
        <w:t xml:space="preserve"> D</w:t>
      </w:r>
      <w:r>
        <w:rPr>
          <w:rFonts w:hint="eastAsia" w:ascii="楷体" w:hAnsi="楷体" w:eastAsia="楷体" w:cs="宋体"/>
          <w:spacing w:val="-2"/>
          <w:sz w:val="24"/>
          <w:szCs w:val="24"/>
        </w:rPr>
        <w:t>份额</w:t>
      </w:r>
      <w:r>
        <w:rPr>
          <w:rFonts w:hint="eastAsia" w:ascii="楷体" w:hAnsi="楷体" w:eastAsia="楷体" w:cs="宋体"/>
          <w:spacing w:val="-2"/>
          <w:sz w:val="24"/>
          <w:szCs w:val="24"/>
          <w:lang w:val="en-US" w:eastAsia="zh-CN"/>
        </w:rPr>
        <w:t>个人</w:t>
      </w:r>
      <w:r>
        <w:rPr>
          <w:rFonts w:hint="eastAsia" w:ascii="楷体" w:hAnsi="楷体" w:eastAsia="楷体"/>
          <w:sz w:val="24"/>
          <w:szCs w:val="24"/>
        </w:rPr>
        <w:t>投资者单笔认购起点金额为</w:t>
      </w:r>
      <w:r>
        <w:rPr>
          <w:rFonts w:ascii="楷体" w:hAnsi="楷体" w:eastAsia="楷体"/>
          <w:sz w:val="24"/>
          <w:szCs w:val="24"/>
        </w:rPr>
        <w:t>50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sz w:val="24"/>
          <w:szCs w:val="24"/>
          <w:lang w:eastAsia="zh-CN"/>
        </w:rPr>
        <w:t>，</w:t>
      </w:r>
      <w:r>
        <w:rPr>
          <w:rFonts w:hint="eastAsia" w:ascii="楷体" w:hAnsi="楷体" w:eastAsia="楷体"/>
          <w:sz w:val="24"/>
          <w:szCs w:val="24"/>
          <w:lang w:val="en-US" w:eastAsia="zh-CN"/>
        </w:rPr>
        <w:t>机构</w:t>
      </w:r>
      <w:r>
        <w:rPr>
          <w:rFonts w:hint="eastAsia" w:ascii="楷体" w:hAnsi="楷体" w:eastAsia="楷体"/>
          <w:sz w:val="24"/>
          <w:szCs w:val="24"/>
        </w:rPr>
        <w:t>投资者单笔认购起点金额为</w:t>
      </w:r>
      <w:r>
        <w:rPr>
          <w:rFonts w:ascii="楷体" w:hAnsi="楷体" w:eastAsia="楷体"/>
          <w:sz w:val="24"/>
          <w:szCs w:val="24"/>
        </w:rPr>
        <w:t>50</w:t>
      </w:r>
      <w:r>
        <w:rPr>
          <w:rFonts w:hint="eastAsia" w:ascii="楷体" w:hAnsi="楷体" w:eastAsia="楷体"/>
          <w:sz w:val="24"/>
          <w:szCs w:val="24"/>
          <w:lang w:val="en-US" w:eastAsia="zh-CN"/>
        </w:rPr>
        <w:t>00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sz w:val="24"/>
          <w:szCs w:val="24"/>
          <w:lang w:val="en-US" w:eastAsia="zh-CN"/>
        </w:rPr>
        <w:t>E</w:t>
      </w:r>
      <w:r>
        <w:rPr>
          <w:rFonts w:hint="eastAsia" w:ascii="楷体" w:hAnsi="楷体" w:eastAsia="楷体" w:cs="宋体"/>
          <w:spacing w:val="-2"/>
          <w:sz w:val="24"/>
          <w:szCs w:val="24"/>
        </w:rPr>
        <w:t>份额</w:t>
      </w:r>
      <w:r>
        <w:rPr>
          <w:rFonts w:hint="eastAsia" w:ascii="楷体" w:hAnsi="楷体" w:eastAsia="楷体"/>
          <w:sz w:val="24"/>
          <w:szCs w:val="24"/>
        </w:rPr>
        <w:t>投资者单笔认购起点金额为</w:t>
      </w:r>
      <w:r>
        <w:rPr>
          <w:rFonts w:hint="eastAsia" w:ascii="楷体" w:hAnsi="楷体" w:eastAsia="楷体"/>
          <w:sz w:val="24"/>
          <w:szCs w:val="24"/>
          <w:lang w:val="en-US" w:eastAsia="zh-CN"/>
        </w:rPr>
        <w:t>100</w:t>
      </w:r>
      <w:r>
        <w:rPr>
          <w:rFonts w:hint="eastAsia" w:ascii="楷体" w:hAnsi="楷体" w:eastAsia="楷体"/>
          <w:sz w:val="24"/>
          <w:szCs w:val="24"/>
        </w:rPr>
        <w:t>万元，追加金额为</w:t>
      </w:r>
      <w:r>
        <w:rPr>
          <w:rFonts w:ascii="楷体" w:hAnsi="楷体" w:eastAsia="楷体"/>
          <w:sz w:val="24"/>
          <w:szCs w:val="24"/>
        </w:rPr>
        <w:t>1</w:t>
      </w:r>
      <w:r>
        <w:rPr>
          <w:rFonts w:hint="eastAsia" w:ascii="楷体" w:hAnsi="楷体" w:eastAsia="楷体"/>
          <w:sz w:val="24"/>
          <w:szCs w:val="24"/>
        </w:rPr>
        <w:t>万元的整数倍</w:t>
      </w:r>
      <w:r>
        <w:rPr>
          <w:rFonts w:hint="eastAsia" w:ascii="楷体" w:hAnsi="楷体" w:eastAsia="楷体"/>
          <w:sz w:val="24"/>
          <w:szCs w:val="24"/>
          <w:lang w:eastAsia="zh-CN"/>
        </w:rPr>
        <w:t>；</w:t>
      </w:r>
      <w:r>
        <w:rPr>
          <w:rFonts w:hint="eastAsia" w:ascii="楷体" w:hAnsi="楷体" w:eastAsia="楷体" w:cs="Calibri"/>
          <w:sz w:val="24"/>
          <w:szCs w:val="24"/>
          <w:lang w:val="en-US" w:eastAsia="zh-CN"/>
        </w:rPr>
        <w:t>F</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sz w:val="24"/>
          <w:szCs w:val="24"/>
          <w:lang w:eastAsia="zh-CN"/>
        </w:rPr>
        <w:t>；</w:t>
      </w:r>
      <w:r>
        <w:rPr>
          <w:rFonts w:hint="eastAsia" w:ascii="楷体" w:hAnsi="楷体" w:eastAsia="楷体"/>
          <w:sz w:val="24"/>
          <w:szCs w:val="24"/>
          <w:lang w:val="en-US" w:eastAsia="zh-CN"/>
        </w:rPr>
        <w:t>W</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S</w:t>
      </w:r>
      <w:r>
        <w:rPr>
          <w:rFonts w:hint="eastAsia" w:ascii="楷体" w:hAnsi="楷体" w:eastAsia="楷体" w:cs="宋体"/>
          <w:spacing w:val="-2"/>
          <w:sz w:val="24"/>
          <w:szCs w:val="24"/>
        </w:rPr>
        <w:t>份额</w:t>
      </w:r>
      <w:r>
        <w:rPr>
          <w:rFonts w:hint="eastAsia" w:ascii="楷体" w:hAnsi="楷体" w:eastAsia="楷体" w:cs="Calibri"/>
          <w:sz w:val="24"/>
          <w:szCs w:val="24"/>
        </w:rPr>
        <w:t>投资者单笔认购起点金额为</w:t>
      </w:r>
      <w:r>
        <w:rPr>
          <w:rFonts w:ascii="楷体" w:hAnsi="楷体" w:eastAsia="楷体" w:cs="Calibri"/>
          <w:sz w:val="24"/>
          <w:szCs w:val="24"/>
        </w:rPr>
        <w:t>1</w:t>
      </w:r>
      <w:r>
        <w:rPr>
          <w:rFonts w:hint="eastAsia" w:ascii="楷体" w:hAnsi="楷体" w:eastAsia="楷体" w:cs="Calibri"/>
          <w:sz w:val="24"/>
          <w:szCs w:val="24"/>
        </w:rPr>
        <w:t>元，追加金额为</w:t>
      </w:r>
      <w:r>
        <w:rPr>
          <w:rFonts w:ascii="楷体" w:hAnsi="楷体" w:eastAsia="楷体" w:cs="Calibri"/>
          <w:sz w:val="24"/>
          <w:szCs w:val="24"/>
        </w:rPr>
        <w:t>1</w:t>
      </w:r>
      <w:r>
        <w:rPr>
          <w:rFonts w:hint="eastAsia" w:ascii="楷体" w:hAnsi="楷体" w:eastAsia="楷体" w:cs="Calibri"/>
          <w:sz w:val="24"/>
          <w:szCs w:val="24"/>
        </w:rPr>
        <w:t>元的整数倍。</w:t>
      </w:r>
      <w:r>
        <w:rPr>
          <w:rFonts w:hint="eastAsia" w:ascii="楷体" w:hAnsi="楷体" w:eastAsia="楷体"/>
          <w:sz w:val="24"/>
          <w:szCs w:val="24"/>
        </w:rPr>
        <w:t>（以各销售机构设置为准）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highlight w:val="none"/>
        </w:rPr>
        <w:t>认购申请撤销时间：</w:t>
      </w:r>
      <w:r>
        <w:rPr>
          <w:rFonts w:hint="eastAsia" w:ascii="楷体" w:hAnsi="楷体" w:eastAsia="楷体" w:cs="Calibri"/>
          <w:sz w:val="24"/>
          <w:szCs w:val="24"/>
        </w:rPr>
        <w:t>认购期间，投资者可于</w:t>
      </w:r>
      <w:r>
        <w:rPr>
          <w:rFonts w:hint="eastAsia" w:ascii="楷体" w:hAnsi="楷体" w:eastAsia="楷体"/>
          <w:sz w:val="24"/>
          <w:szCs w:val="24"/>
          <w:lang w:eastAsia="zh-CN"/>
        </w:rPr>
        <w:t>2022年1月</w:t>
      </w:r>
      <w:r>
        <w:rPr>
          <w:rFonts w:hint="eastAsia" w:ascii="楷体" w:hAnsi="楷体" w:eastAsia="楷体"/>
          <w:sz w:val="24"/>
          <w:szCs w:val="24"/>
          <w:lang w:val="en-US" w:eastAsia="zh-CN"/>
        </w:rPr>
        <w:t>20</w:t>
      </w:r>
      <w:r>
        <w:rPr>
          <w:rFonts w:hint="eastAsia" w:ascii="楷体" w:hAnsi="楷体" w:eastAsia="楷体"/>
          <w:sz w:val="24"/>
          <w:szCs w:val="24"/>
          <w:lang w:eastAsia="zh-CN"/>
        </w:rPr>
        <w:t>日</w:t>
      </w:r>
      <w:r>
        <w:rPr>
          <w:rFonts w:hint="eastAsia" w:ascii="楷体" w:hAnsi="楷体" w:eastAsia="楷体"/>
          <w:sz w:val="24"/>
          <w:szCs w:val="24"/>
        </w:rPr>
        <w:t>17:00</w:t>
      </w:r>
      <w:r>
        <w:rPr>
          <w:rFonts w:hint="eastAsia" w:ascii="楷体" w:hAnsi="楷体" w:eastAsia="楷体" w:cs="Calibri"/>
          <w:sz w:val="24"/>
          <w:szCs w:val="24"/>
        </w:rPr>
        <w:t>前撤销认购申请，该时点后不得撤销。（以各销售机构设置的撤销截止时间为准）</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认购资金的清算</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w:t>
      </w:r>
      <w:r>
        <w:rPr>
          <w:rFonts w:hint="eastAsia" w:ascii="楷体" w:hAnsi="楷体" w:eastAsia="楷体"/>
          <w:sz w:val="24"/>
          <w:szCs w:val="24"/>
          <w:highlight w:val="none"/>
          <w:lang w:val="en-US" w:eastAsia="zh-CN"/>
        </w:rPr>
        <w:t>理财</w:t>
      </w:r>
      <w:r>
        <w:rPr>
          <w:rFonts w:hint="eastAsia" w:ascii="楷体" w:hAnsi="楷体" w:eastAsia="楷体"/>
          <w:sz w:val="24"/>
          <w:szCs w:val="24"/>
          <w:highlight w:val="none"/>
        </w:rPr>
        <w:t>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认购份额登记日：本理财产品于</w:t>
      </w:r>
      <w:r>
        <w:rPr>
          <w:rFonts w:hint="eastAsia" w:ascii="楷体" w:hAnsi="楷体" w:eastAsia="楷体"/>
          <w:sz w:val="24"/>
          <w:szCs w:val="24"/>
          <w:lang w:eastAsia="zh-CN"/>
        </w:rPr>
        <w:t>2022年1月</w:t>
      </w:r>
      <w:r>
        <w:rPr>
          <w:rFonts w:hint="eastAsia" w:ascii="楷体" w:hAnsi="楷体" w:eastAsia="楷体"/>
          <w:sz w:val="24"/>
          <w:szCs w:val="24"/>
          <w:lang w:val="en-US" w:eastAsia="zh-CN"/>
        </w:rPr>
        <w:t>21</w:t>
      </w:r>
      <w:r>
        <w:rPr>
          <w:rFonts w:hint="eastAsia" w:ascii="楷体" w:hAnsi="楷体" w:eastAsia="楷体"/>
          <w:sz w:val="24"/>
          <w:szCs w:val="24"/>
          <w:lang w:eastAsia="zh-CN"/>
        </w:rPr>
        <w:t>日</w:t>
      </w:r>
      <w:r>
        <w:rPr>
          <w:rFonts w:hint="eastAsia" w:ascii="楷体" w:hAnsi="楷体" w:eastAsia="楷体" w:cs="Calibri"/>
          <w:sz w:val="24"/>
          <w:szCs w:val="24"/>
        </w:rPr>
        <w:t>进行份额登记</w:t>
      </w:r>
      <w:r>
        <w:rPr>
          <w:rFonts w:hint="eastAsia" w:ascii="楷体" w:hAnsi="楷体" w:eastAsia="楷体" w:cs="Calibri"/>
          <w:sz w:val="24"/>
          <w:szCs w:val="24"/>
          <w:lang w:val="en-US" w:eastAsia="zh-CN"/>
        </w:rPr>
        <w:t>。</w:t>
      </w:r>
    </w:p>
    <w:p>
      <w:pPr>
        <w:numPr>
          <w:ilvl w:val="0"/>
          <w:numId w:val="13"/>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3"/>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产品申购、赎回</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2022年1月</w:t>
      </w:r>
      <w:r>
        <w:rPr>
          <w:rFonts w:hint="eastAsia" w:ascii="楷体" w:hAnsi="楷体" w:eastAsia="楷体"/>
          <w:sz w:val="24"/>
          <w:szCs w:val="24"/>
          <w:lang w:val="en-US" w:eastAsia="zh-CN"/>
        </w:rPr>
        <w:t>21</w:t>
      </w:r>
      <w:r>
        <w:rPr>
          <w:rFonts w:hint="eastAsia" w:ascii="楷体" w:hAnsi="楷体" w:eastAsia="楷体"/>
          <w:sz w:val="24"/>
          <w:szCs w:val="24"/>
          <w:lang w:eastAsia="zh-CN"/>
        </w:rPr>
        <w:t>日</w:t>
      </w:r>
      <w:r>
        <w:rPr>
          <w:rFonts w:hint="eastAsia" w:ascii="楷体" w:hAnsi="楷体" w:eastAsia="楷体"/>
          <w:sz w:val="24"/>
          <w:szCs w:val="24"/>
        </w:rPr>
        <w:t>，从成立日起，每</w:t>
      </w:r>
      <w:r>
        <w:rPr>
          <w:rFonts w:ascii="楷体" w:hAnsi="楷体" w:eastAsia="楷体"/>
          <w:sz w:val="24"/>
          <w:szCs w:val="24"/>
        </w:rPr>
        <w:t>3</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2022年</w:t>
      </w:r>
      <w:r>
        <w:rPr>
          <w:rFonts w:hint="eastAsia" w:ascii="楷体" w:hAnsi="楷体" w:eastAsia="楷体"/>
          <w:sz w:val="24"/>
          <w:szCs w:val="24"/>
          <w:lang w:val="en-US" w:eastAsia="zh-CN"/>
        </w:rPr>
        <w:t>5</w:t>
      </w:r>
      <w:r>
        <w:rPr>
          <w:rFonts w:hint="eastAsia" w:ascii="楷体" w:hAnsi="楷体" w:eastAsia="楷体"/>
          <w:sz w:val="24"/>
          <w:szCs w:val="24"/>
          <w:lang w:eastAsia="zh-CN"/>
        </w:rPr>
        <w:t>月</w:t>
      </w:r>
      <w:r>
        <w:rPr>
          <w:rFonts w:hint="eastAsia" w:ascii="楷体" w:hAnsi="楷体" w:eastAsia="楷体"/>
          <w:sz w:val="24"/>
          <w:szCs w:val="24"/>
          <w:lang w:val="en-US" w:eastAsia="zh-CN"/>
        </w:rPr>
        <w:t>5</w:t>
      </w:r>
      <w:r>
        <w:rPr>
          <w:rFonts w:hint="eastAsia" w:ascii="楷体" w:hAnsi="楷体" w:eastAsia="楷体"/>
          <w:sz w:val="24"/>
          <w:szCs w:val="24"/>
          <w:lang w:eastAsia="zh-CN"/>
        </w:rPr>
        <w:t>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3</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申购、赎回的规则</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申购、赎回的原则：本产品采用金额申购、份额赎回的原则，即申购以金额申请，赎回以份额申请。</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申购、赎回的时间：投资者可在开放计划约定的时间内提交申购/赎回申请</w:t>
      </w:r>
      <w:r>
        <w:rPr>
          <w:rFonts w:hint="eastAsia" w:ascii="楷体" w:hAnsi="楷体" w:eastAsia="楷体"/>
          <w:sz w:val="24"/>
          <w:szCs w:val="24"/>
        </w:rPr>
        <w:t>（以各销售机构设置的开放时间为准）</w:t>
      </w:r>
      <w:r>
        <w:rPr>
          <w:rFonts w:hint="eastAsia" w:ascii="楷体" w:hAnsi="楷体" w:eastAsia="楷体" w:cs="Calibri"/>
          <w:sz w:val="24"/>
          <w:szCs w:val="24"/>
        </w:rPr>
        <w:t>。本产品首个投资周期及开放计划详见下表，后续投资周期及开放计划受资产运作情况、节假日安排等要素限制，管理人将在每个投资周期结束前通过本理财产品说明书约定的方式披露下一周期开放计划。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381"/>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投资周期</w:t>
            </w:r>
          </w:p>
        </w:tc>
        <w:tc>
          <w:tcPr>
            <w:tcW w:w="187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投资周期起始日</w:t>
            </w:r>
          </w:p>
        </w:tc>
        <w:tc>
          <w:tcPr>
            <w:tcW w:w="187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投资周期终止日</w:t>
            </w:r>
          </w:p>
        </w:tc>
        <w:tc>
          <w:tcPr>
            <w:tcW w:w="238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开放计划</w:t>
            </w:r>
          </w:p>
          <w:p>
            <w:pPr>
              <w:jc w:val="center"/>
              <w:rPr>
                <w:rFonts w:ascii="楷体" w:hAnsi="楷体" w:eastAsia="楷体"/>
                <w:szCs w:val="21"/>
                <w:highlight w:val="none"/>
              </w:rPr>
            </w:pPr>
            <w:r>
              <w:rPr>
                <w:rFonts w:hint="eastAsia" w:ascii="楷体" w:hAnsi="楷体" w:eastAsia="楷体"/>
                <w:szCs w:val="21"/>
                <w:highlight w:val="none"/>
              </w:rPr>
              <w:t>（申购/赎回时间）</w:t>
            </w:r>
          </w:p>
        </w:tc>
        <w:tc>
          <w:tcPr>
            <w:tcW w:w="1871" w:type="dxa"/>
            <w:noWrap w:val="0"/>
            <w:vAlign w:val="center"/>
          </w:tcPr>
          <w:p>
            <w:pPr>
              <w:jc w:val="center"/>
              <w:rPr>
                <w:rFonts w:ascii="楷体" w:hAnsi="楷体" w:eastAsia="楷体"/>
                <w:szCs w:val="21"/>
                <w:highlight w:val="none"/>
              </w:rPr>
            </w:pPr>
            <w:r>
              <w:rPr>
                <w:rFonts w:hint="eastAsia" w:ascii="楷体" w:hAnsi="楷体" w:eastAsia="楷体"/>
                <w:szCs w:val="21"/>
                <w:highlight w:val="none"/>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highlight w:val="none"/>
              </w:rPr>
            </w:pPr>
            <w:r>
              <w:rPr>
                <w:rFonts w:hint="eastAsia" w:ascii="楷体" w:hAnsi="楷体" w:eastAsia="楷体"/>
                <w:szCs w:val="21"/>
              </w:rPr>
              <w:t>1</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lang w:eastAsia="zh-CN"/>
              </w:rPr>
              <w:t>2022年1月21日</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lang w:eastAsia="zh-CN"/>
              </w:rPr>
              <w:t>2022年5月5日</w:t>
            </w:r>
          </w:p>
        </w:tc>
        <w:tc>
          <w:tcPr>
            <w:tcW w:w="2381" w:type="dxa"/>
            <w:noWrap w:val="0"/>
            <w:vAlign w:val="center"/>
          </w:tcPr>
          <w:p>
            <w:pPr>
              <w:jc w:val="center"/>
              <w:rPr>
                <w:rFonts w:ascii="楷体" w:hAnsi="楷体" w:eastAsia="楷体"/>
                <w:szCs w:val="21"/>
              </w:rPr>
            </w:pPr>
            <w:r>
              <w:rPr>
                <w:rFonts w:hint="eastAsia" w:ascii="楷体" w:hAnsi="楷体" w:eastAsia="楷体"/>
                <w:szCs w:val="21"/>
                <w:lang w:eastAsia="zh-CN"/>
              </w:rPr>
              <w:t>2022年4月29日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ascii="楷体" w:hAnsi="楷体" w:eastAsia="楷体"/>
                <w:szCs w:val="21"/>
                <w:highlight w:val="none"/>
              </w:rPr>
            </w:pPr>
            <w:r>
              <w:rPr>
                <w:rFonts w:hint="eastAsia" w:ascii="楷体" w:hAnsi="楷体" w:eastAsia="楷体"/>
                <w:szCs w:val="21"/>
                <w:lang w:eastAsia="zh-CN"/>
              </w:rPr>
              <w:t>2022年5月5日</w:t>
            </w:r>
            <w:r>
              <w:rPr>
                <w:rFonts w:hint="eastAsia" w:ascii="楷体" w:hAnsi="楷体" w:eastAsia="楷体"/>
                <w:szCs w:val="21"/>
              </w:rPr>
              <w:t>17:00</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lang w:eastAsia="zh-CN"/>
              </w:rPr>
              <w:t>2022年5月6日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ascii="楷体" w:hAnsi="楷体" w:eastAsia="楷体"/>
                <w:szCs w:val="21"/>
                <w:highlight w:val="none"/>
              </w:rPr>
            </w:pPr>
            <w:r>
              <w:rPr>
                <w:rFonts w:hint="eastAsia" w:ascii="楷体" w:hAnsi="楷体" w:eastAsia="楷体"/>
                <w:szCs w:val="21"/>
              </w:rPr>
              <w:t>2</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楷体" w:eastAsia="楷体"/>
                <w:szCs w:val="21"/>
                <w:lang w:eastAsia="zh-CN"/>
              </w:rPr>
              <w:t>2022年5月6日</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lang w:eastAsia="zh-CN"/>
              </w:rPr>
              <w:t>2022年8月18日</w:t>
            </w:r>
          </w:p>
        </w:tc>
        <w:tc>
          <w:tcPr>
            <w:tcW w:w="2381" w:type="dxa"/>
            <w:noWrap w:val="0"/>
            <w:vAlign w:val="center"/>
          </w:tcPr>
          <w:p>
            <w:pPr>
              <w:jc w:val="center"/>
              <w:rPr>
                <w:rFonts w:hint="eastAsia" w:ascii="楷体" w:hAnsi="楷体" w:eastAsia="楷体"/>
                <w:szCs w:val="21"/>
              </w:rPr>
            </w:pPr>
            <w:r>
              <w:rPr>
                <w:rFonts w:hint="eastAsia" w:ascii="楷体" w:hAnsi="楷体" w:eastAsia="楷体"/>
                <w:szCs w:val="21"/>
                <w:lang w:eastAsia="zh-CN"/>
              </w:rPr>
              <w:t>2022年8月12日</w:t>
            </w:r>
            <w:r>
              <w:rPr>
                <w:rFonts w:hint="eastAsia" w:ascii="楷体" w:hAnsi="楷体" w:eastAsia="楷体"/>
                <w:szCs w:val="21"/>
              </w:rPr>
              <w:t>9:00</w:t>
            </w:r>
          </w:p>
          <w:p>
            <w:pPr>
              <w:jc w:val="center"/>
              <w:rPr>
                <w:rFonts w:hint="eastAsia" w:ascii="楷体" w:hAnsi="楷体" w:eastAsia="楷体"/>
                <w:szCs w:val="21"/>
              </w:rPr>
            </w:pPr>
            <w:r>
              <w:rPr>
                <w:rFonts w:hint="eastAsia" w:ascii="楷体" w:hAnsi="楷体" w:eastAsia="楷体"/>
                <w:szCs w:val="21"/>
              </w:rPr>
              <w:t>至</w:t>
            </w:r>
          </w:p>
          <w:p>
            <w:pPr>
              <w:jc w:val="center"/>
              <w:rPr>
                <w:rFonts w:ascii="楷体" w:hAnsi="楷体" w:eastAsia="楷体"/>
                <w:szCs w:val="21"/>
                <w:highlight w:val="none"/>
              </w:rPr>
            </w:pPr>
            <w:r>
              <w:rPr>
                <w:rFonts w:hint="eastAsia" w:ascii="楷体" w:hAnsi="Times New Roman" w:eastAsia="楷体" w:cs="楷体"/>
                <w:color w:val="000000"/>
                <w:kern w:val="0"/>
                <w:szCs w:val="21"/>
                <w:lang w:eastAsia="zh-CN"/>
              </w:rPr>
              <w:t>2022年8月18日</w:t>
            </w:r>
            <w:r>
              <w:rPr>
                <w:rFonts w:ascii="楷体" w:hAnsi="Times New Roman" w:eastAsia="楷体" w:cs="楷体"/>
                <w:color w:val="000000"/>
                <w:kern w:val="0"/>
                <w:szCs w:val="21"/>
              </w:rPr>
              <w:t>17:00</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lang w:eastAsia="zh-CN"/>
              </w:rPr>
              <w:t>2022年8月19日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highlight w:val="none"/>
              </w:rPr>
            </w:pPr>
            <w:r>
              <w:rPr>
                <w:rFonts w:hint="eastAsia" w:ascii="楷体" w:hAnsi="楷体" w:eastAsia="楷体"/>
                <w:szCs w:val="21"/>
              </w:rPr>
              <w:t>3</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lang w:eastAsia="zh-CN"/>
              </w:rPr>
              <w:t>2022年8月19日</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lang w:eastAsia="zh-CN"/>
              </w:rPr>
              <w:t>2022年11月30日</w:t>
            </w:r>
          </w:p>
        </w:tc>
        <w:tc>
          <w:tcPr>
            <w:tcW w:w="2381" w:type="dxa"/>
            <w:noWrap w:val="0"/>
            <w:vAlign w:val="center"/>
          </w:tcPr>
          <w:p>
            <w:pPr>
              <w:jc w:val="center"/>
              <w:rPr>
                <w:rFonts w:hint="eastAsia" w:ascii="楷体" w:hAnsi="楷体" w:eastAsia="楷体"/>
                <w:szCs w:val="21"/>
                <w:lang w:val="en-US" w:eastAsia="zh-CN"/>
              </w:rPr>
            </w:pPr>
            <w:r>
              <w:rPr>
                <w:rFonts w:hint="eastAsia" w:ascii="楷体" w:hAnsi="楷体" w:eastAsia="楷体"/>
                <w:szCs w:val="21"/>
                <w:lang w:val="en-US" w:eastAsia="zh-CN"/>
              </w:rPr>
              <w:t>2022年11月24日9:00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eastAsia" w:ascii="楷体" w:hAnsi="楷体" w:eastAsia="楷体"/>
                <w:szCs w:val="21"/>
                <w:highlight w:val="none"/>
              </w:rPr>
            </w:pPr>
            <w:r>
              <w:rPr>
                <w:rFonts w:hint="eastAsia" w:ascii="楷体" w:hAnsi="Times New Roman" w:eastAsia="楷体" w:cs="楷体"/>
                <w:color w:val="000000"/>
                <w:kern w:val="0"/>
                <w:szCs w:val="21"/>
                <w:lang w:eastAsia="zh-CN"/>
              </w:rPr>
              <w:t>2022年11月30日</w:t>
            </w:r>
            <w:r>
              <w:rPr>
                <w:rFonts w:ascii="楷体" w:hAnsi="Times New Roman" w:eastAsia="楷体" w:cs="楷体"/>
                <w:color w:val="000000"/>
                <w:kern w:val="0"/>
                <w:szCs w:val="21"/>
              </w:rPr>
              <w:t>17:00</w:t>
            </w:r>
          </w:p>
        </w:tc>
        <w:tc>
          <w:tcPr>
            <w:tcW w:w="1871" w:type="dxa"/>
            <w:noWrap w:val="0"/>
            <w:vAlign w:val="center"/>
          </w:tcPr>
          <w:p>
            <w:pPr>
              <w:jc w:val="center"/>
              <w:rPr>
                <w:rFonts w:hint="eastAsia" w:ascii="楷体" w:hAnsi="楷体" w:eastAsia="楷体"/>
                <w:szCs w:val="21"/>
                <w:highlight w:val="none"/>
                <w:lang w:eastAsia="zh-CN"/>
              </w:rPr>
            </w:pPr>
            <w:r>
              <w:rPr>
                <w:rFonts w:hint="eastAsia" w:ascii="楷体" w:hAnsi="Times New Roman" w:eastAsia="楷体" w:cs="楷体"/>
                <w:color w:val="000000"/>
                <w:kern w:val="0"/>
                <w:szCs w:val="21"/>
                <w:lang w:eastAsia="zh-CN"/>
              </w:rPr>
              <w:t>2022年12月1日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eastAsia" w:ascii="楷体" w:hAnsi="楷体" w:eastAsia="楷体"/>
                <w:szCs w:val="21"/>
                <w:highlight w:val="none"/>
                <w:lang w:val="en-US" w:eastAsia="zh-CN"/>
              </w:rPr>
            </w:pPr>
            <w:r>
              <w:rPr>
                <w:rFonts w:hint="eastAsia" w:ascii="楷体" w:hAnsi="楷体" w:eastAsia="楷体"/>
                <w:szCs w:val="21"/>
                <w:lang w:val="en-US" w:eastAsia="zh-CN"/>
              </w:rPr>
              <w:t>4</w:t>
            </w:r>
          </w:p>
        </w:tc>
        <w:tc>
          <w:tcPr>
            <w:tcW w:w="1871" w:type="dxa"/>
            <w:noWrap w:val="0"/>
            <w:vAlign w:val="center"/>
          </w:tcPr>
          <w:p>
            <w:pPr>
              <w:jc w:val="center"/>
              <w:rPr>
                <w:rFonts w:hint="eastAsia" w:ascii="楷体" w:hAnsi="Times New Roman" w:eastAsia="楷体" w:cs="楷体"/>
                <w:color w:val="000000"/>
                <w:kern w:val="0"/>
                <w:szCs w:val="21"/>
                <w:highlight w:val="none"/>
                <w:lang w:eastAsia="zh-CN"/>
              </w:rPr>
            </w:pPr>
            <w:r>
              <w:rPr>
                <w:rFonts w:hint="eastAsia" w:ascii="楷体" w:hAnsi="Times New Roman" w:eastAsia="楷体" w:cs="楷体"/>
                <w:color w:val="000000"/>
                <w:kern w:val="0"/>
                <w:szCs w:val="21"/>
                <w:lang w:eastAsia="zh-CN"/>
              </w:rPr>
              <w:t>2022年12月1日</w:t>
            </w:r>
          </w:p>
        </w:tc>
        <w:tc>
          <w:tcPr>
            <w:tcW w:w="1871" w:type="dxa"/>
            <w:noWrap w:val="0"/>
            <w:vAlign w:val="center"/>
          </w:tcPr>
          <w:p>
            <w:pPr>
              <w:jc w:val="center"/>
              <w:rPr>
                <w:rFonts w:hint="default"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2023年3月14日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2023年3月8日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lang w:val="en-US" w:eastAsia="zh-CN"/>
              </w:rPr>
              <w:t>2023年3月14日</w:t>
            </w:r>
            <w:r>
              <w:rPr>
                <w:rFonts w:ascii="楷体" w:hAnsi="Times New Roman" w:eastAsia="楷体" w:cs="楷体"/>
                <w:color w:val="000000"/>
                <w:kern w:val="0"/>
                <w:szCs w:val="21"/>
              </w:rPr>
              <w:t>17:00</w:t>
            </w:r>
          </w:p>
        </w:tc>
        <w:tc>
          <w:tcPr>
            <w:tcW w:w="1871" w:type="dxa"/>
            <w:noWrap w:val="0"/>
            <w:vAlign w:val="center"/>
          </w:tcPr>
          <w:p>
            <w:pPr>
              <w:jc w:val="center"/>
              <w:rPr>
                <w:rFonts w:hint="default"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2023年3月15日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lang w:val="en-US" w:eastAsia="zh-CN"/>
              </w:rPr>
              <w:t>5</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2023年3月15日</w:t>
            </w:r>
          </w:p>
        </w:tc>
        <w:tc>
          <w:tcPr>
            <w:tcW w:w="1871" w:type="dxa"/>
            <w:noWrap w:val="0"/>
            <w:vAlign w:val="center"/>
          </w:tcPr>
          <w:p>
            <w:pPr>
              <w:jc w:val="center"/>
              <w:rPr>
                <w:rFonts w:hint="default"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2023年6月20日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2023年6月14日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2023年6月20日</w:t>
            </w:r>
            <w:r>
              <w:rPr>
                <w:rFonts w:ascii="楷体" w:hAnsi="Times New Roman" w:eastAsia="楷体" w:cs="楷体"/>
                <w:color w:val="000000"/>
                <w:kern w:val="0"/>
                <w:szCs w:val="21"/>
              </w:rPr>
              <w:t>17:00</w:t>
            </w:r>
          </w:p>
        </w:tc>
        <w:tc>
          <w:tcPr>
            <w:tcW w:w="1871" w:type="dxa"/>
            <w:noWrap w:val="0"/>
            <w:vAlign w:val="center"/>
          </w:tcPr>
          <w:p>
            <w:pPr>
              <w:jc w:val="center"/>
              <w:rPr>
                <w:rFonts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2023年6月21日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lang w:val="en-US" w:eastAsia="zh-CN"/>
              </w:rPr>
              <w:t>6</w:t>
            </w:r>
          </w:p>
        </w:tc>
        <w:tc>
          <w:tcPr>
            <w:tcW w:w="1871" w:type="dxa"/>
            <w:noWrap w:val="0"/>
            <w:vAlign w:val="center"/>
          </w:tcPr>
          <w:p>
            <w:pPr>
              <w:jc w:val="center"/>
              <w:rPr>
                <w:rFonts w:hint="eastAsia"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2023年6月21日</w:t>
            </w:r>
          </w:p>
        </w:tc>
        <w:tc>
          <w:tcPr>
            <w:tcW w:w="1871" w:type="dxa"/>
            <w:noWrap w:val="0"/>
            <w:vAlign w:val="center"/>
          </w:tcPr>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lang w:val="en-US" w:eastAsia="zh-CN"/>
              </w:rPr>
              <w:t>2023年9月25日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2023年9月19日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lang w:val="en-US" w:eastAsia="zh-CN"/>
              </w:rPr>
              <w:t>2023年9月25日</w:t>
            </w:r>
            <w:r>
              <w:rPr>
                <w:rFonts w:ascii="楷体" w:hAnsi="Times New Roman" w:eastAsia="楷体" w:cs="楷体"/>
                <w:color w:val="000000"/>
                <w:kern w:val="0"/>
                <w:szCs w:val="21"/>
              </w:rPr>
              <w:t>17:00</w:t>
            </w:r>
          </w:p>
        </w:tc>
        <w:tc>
          <w:tcPr>
            <w:tcW w:w="1871" w:type="dxa"/>
            <w:noWrap w:val="0"/>
            <w:vAlign w:val="center"/>
          </w:tcPr>
          <w:p>
            <w:pPr>
              <w:jc w:val="center"/>
              <w:rPr>
                <w:rFonts w:ascii="楷体" w:hAnsi="Times New Roman" w:eastAsia="楷体" w:cs="楷体"/>
                <w:color w:val="000000"/>
                <w:kern w:val="0"/>
                <w:szCs w:val="21"/>
                <w:highlight w:val="none"/>
              </w:rPr>
            </w:pPr>
            <w:r>
              <w:rPr>
                <w:rFonts w:hint="eastAsia" w:ascii="楷体" w:hAnsi="Times New Roman" w:eastAsia="楷体" w:cs="楷体"/>
                <w:color w:val="000000"/>
                <w:kern w:val="0"/>
                <w:szCs w:val="21"/>
                <w:lang w:val="en-US" w:eastAsia="zh-CN"/>
              </w:rPr>
              <w:t>2023年9月26日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lang w:val="en-US" w:eastAsia="zh-CN"/>
              </w:rPr>
              <w:t>7</w:t>
            </w:r>
          </w:p>
        </w:tc>
        <w:tc>
          <w:tcPr>
            <w:tcW w:w="1871" w:type="dxa"/>
            <w:noWrap w:val="0"/>
            <w:vAlign w:val="center"/>
          </w:tcPr>
          <w:p>
            <w:pPr>
              <w:jc w:val="center"/>
              <w:rPr>
                <w:rFonts w:hint="eastAsia"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2023年9月26日</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2024年1月9日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2024年1月3日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2024年1月9日</w:t>
            </w:r>
            <w:r>
              <w:rPr>
                <w:rFonts w:ascii="楷体" w:hAnsi="Times New Roman" w:eastAsia="楷体" w:cs="楷体"/>
                <w:color w:val="000000"/>
                <w:kern w:val="0"/>
                <w:szCs w:val="21"/>
              </w:rPr>
              <w:t>17:00</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2024年1月10日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lang w:val="en-US" w:eastAsia="zh-CN"/>
              </w:rPr>
              <w:t>8</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2024年1月10日</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2024年4月23日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2024年4月17日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2024年4月23日</w:t>
            </w:r>
            <w:r>
              <w:rPr>
                <w:rFonts w:ascii="楷体" w:hAnsi="Times New Roman" w:eastAsia="楷体" w:cs="楷体"/>
                <w:color w:val="000000"/>
                <w:kern w:val="0"/>
                <w:szCs w:val="21"/>
              </w:rPr>
              <w:t>17:00</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2024年4月24日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lang w:val="en-US" w:eastAsia="zh-CN"/>
              </w:rPr>
              <w:t>9</w:t>
            </w:r>
          </w:p>
        </w:tc>
        <w:tc>
          <w:tcPr>
            <w:tcW w:w="1871" w:type="dxa"/>
            <w:noWrap w:val="0"/>
            <w:vAlign w:val="center"/>
          </w:tcPr>
          <w:p>
            <w:pPr>
              <w:jc w:val="center"/>
              <w:rPr>
                <w:rFonts w:hint="eastAsia"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2024年4月24日</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2024年7月30日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2024年7月22日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2024年7月30日</w:t>
            </w:r>
            <w:r>
              <w:rPr>
                <w:rFonts w:ascii="楷体" w:hAnsi="Times New Roman" w:eastAsia="楷体" w:cs="楷体"/>
                <w:color w:val="000000"/>
                <w:kern w:val="0"/>
                <w:szCs w:val="21"/>
              </w:rPr>
              <w:t>17:00</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lang w:val="en-US" w:eastAsia="zh-CN"/>
              </w:rPr>
              <w:t>2024年7月31日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80" w:type="dxa"/>
            <w:noWrap w:val="0"/>
            <w:vAlign w:val="center"/>
          </w:tcPr>
          <w:p>
            <w:pPr>
              <w:jc w:val="center"/>
              <w:rPr>
                <w:rFonts w:hint="eastAsia" w:ascii="楷体" w:hAnsi="楷体" w:eastAsia="楷体"/>
                <w:kern w:val="2"/>
                <w:sz w:val="21"/>
                <w:szCs w:val="21"/>
                <w:lang w:val="en-US" w:eastAsia="zh-CN" w:bidi="ar-SA"/>
              </w:rPr>
            </w:pPr>
            <w:r>
              <w:rPr>
                <w:rFonts w:hint="eastAsia" w:ascii="楷体" w:hAnsi="楷体" w:eastAsia="楷体"/>
                <w:szCs w:val="21"/>
                <w:lang w:val="en-US" w:eastAsia="zh-CN"/>
              </w:rPr>
              <w:t>10</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Times New Roman" w:eastAsia="楷体" w:cs="楷体"/>
                <w:color w:val="000000"/>
                <w:kern w:val="0"/>
                <w:szCs w:val="21"/>
                <w:lang w:val="en-US" w:eastAsia="zh-CN"/>
              </w:rPr>
              <w:t>2024年7月31日</w:t>
            </w:r>
          </w:p>
        </w:tc>
        <w:tc>
          <w:tcPr>
            <w:tcW w:w="1871" w:type="dxa"/>
            <w:noWrap w:val="0"/>
            <w:vAlign w:val="center"/>
          </w:tcPr>
          <w:p>
            <w:pPr>
              <w:jc w:val="center"/>
              <w:rPr>
                <w:rFonts w:hint="eastAsia" w:ascii="楷体" w:hAnsi="楷体" w:eastAsia="楷体"/>
                <w:kern w:val="2"/>
                <w:sz w:val="21"/>
                <w:szCs w:val="21"/>
                <w:lang w:val="en-US" w:eastAsia="zh-CN" w:bidi="ar-SA"/>
              </w:rPr>
            </w:pPr>
            <w:r>
              <w:rPr>
                <w:rFonts w:hint="eastAsia" w:ascii="楷体" w:hAnsi="Times New Roman" w:eastAsia="楷体" w:cs="楷体"/>
                <w:color w:val="000000"/>
                <w:kern w:val="0"/>
                <w:szCs w:val="21"/>
                <w:lang w:val="en-US" w:eastAsia="zh-CN"/>
              </w:rPr>
              <w:t>2024年11月7日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2024年10月30日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eastAsia" w:ascii="楷体" w:hAnsi="Times New Roman" w:eastAsia="楷体" w:cs="楷体"/>
                <w:color w:val="000000"/>
                <w:kern w:val="0"/>
                <w:sz w:val="21"/>
                <w:szCs w:val="21"/>
                <w:lang w:val="en-US" w:eastAsia="zh-CN" w:bidi="ar-SA"/>
              </w:rPr>
            </w:pPr>
            <w:r>
              <w:rPr>
                <w:rFonts w:hint="eastAsia" w:ascii="楷体" w:hAnsi="Times New Roman" w:eastAsia="楷体" w:cs="楷体"/>
                <w:color w:val="000000"/>
                <w:kern w:val="0"/>
                <w:szCs w:val="21"/>
                <w:lang w:val="en-US" w:eastAsia="zh-CN"/>
              </w:rPr>
              <w:t>2024年11月7日</w:t>
            </w:r>
            <w:r>
              <w:rPr>
                <w:rFonts w:ascii="楷体" w:hAnsi="Times New Roman" w:eastAsia="楷体" w:cs="楷体"/>
                <w:color w:val="000000"/>
                <w:kern w:val="0"/>
                <w:szCs w:val="21"/>
              </w:rPr>
              <w:t>17:00</w:t>
            </w:r>
          </w:p>
        </w:tc>
        <w:tc>
          <w:tcPr>
            <w:tcW w:w="1871" w:type="dxa"/>
            <w:noWrap w:val="0"/>
            <w:vAlign w:val="center"/>
          </w:tcPr>
          <w:p>
            <w:pPr>
              <w:jc w:val="center"/>
              <w:rPr>
                <w:rFonts w:hint="eastAsia" w:ascii="楷体" w:hAnsi="Times New Roman" w:eastAsia="楷体" w:cs="楷体"/>
                <w:color w:val="000000"/>
                <w:kern w:val="0"/>
                <w:sz w:val="21"/>
                <w:szCs w:val="21"/>
                <w:lang w:val="en-US" w:eastAsia="zh-CN" w:bidi="ar-SA"/>
              </w:rPr>
            </w:pPr>
            <w:r>
              <w:rPr>
                <w:rFonts w:hint="eastAsia" w:ascii="楷体" w:hAnsi="Times New Roman" w:eastAsia="楷体" w:cs="楷体"/>
                <w:color w:val="000000"/>
                <w:kern w:val="0"/>
                <w:szCs w:val="21"/>
                <w:lang w:val="en-US" w:eastAsia="zh-CN"/>
              </w:rPr>
              <w:t>2024年11月8日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80" w:type="dxa"/>
            <w:noWrap w:val="0"/>
            <w:vAlign w:val="center"/>
          </w:tcPr>
          <w:p>
            <w:pPr>
              <w:jc w:val="center"/>
              <w:rPr>
                <w:rFonts w:hint="eastAsia" w:ascii="楷体" w:hAnsi="楷体" w:eastAsia="楷体"/>
                <w:kern w:val="2"/>
                <w:sz w:val="21"/>
                <w:szCs w:val="21"/>
                <w:highlight w:val="none"/>
                <w:lang w:val="en-US" w:eastAsia="zh-CN" w:bidi="ar-SA"/>
              </w:rPr>
            </w:pPr>
            <w:r>
              <w:rPr>
                <w:rFonts w:hint="eastAsia" w:ascii="楷体" w:hAnsi="楷体" w:eastAsia="楷体"/>
                <w:szCs w:val="21"/>
                <w:lang w:val="en-US" w:eastAsia="zh-CN"/>
              </w:rPr>
              <w:t>11</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Times New Roman" w:eastAsia="楷体" w:cs="楷体"/>
                <w:color w:val="000000"/>
                <w:kern w:val="0"/>
                <w:szCs w:val="21"/>
                <w:lang w:val="en-US" w:eastAsia="zh-CN"/>
              </w:rPr>
              <w:t>2024年11月8日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2025年2月12日</w:t>
            </w:r>
          </w:p>
        </w:tc>
        <w:tc>
          <w:tcPr>
            <w:tcW w:w="2381" w:type="dxa"/>
            <w:noWrap w:val="0"/>
            <w:vAlign w:val="center"/>
          </w:tcPr>
          <w:p>
            <w:pPr>
              <w:jc w:val="center"/>
              <w:rPr>
                <w:rFonts w:hint="eastAsia" w:ascii="楷体" w:hAnsi="楷体" w:eastAsia="楷体"/>
                <w:szCs w:val="21"/>
                <w:lang w:val="en-US" w:eastAsia="zh-CN"/>
              </w:rPr>
            </w:pPr>
            <w:r>
              <w:rPr>
                <w:rFonts w:hint="eastAsia" w:ascii="楷体" w:hAnsi="Times New Roman" w:eastAsia="楷体" w:cs="楷体"/>
                <w:color w:val="000000"/>
                <w:kern w:val="0"/>
                <w:szCs w:val="21"/>
                <w:lang w:val="en-US" w:eastAsia="zh-CN"/>
              </w:rPr>
              <w:t>2025年2月5日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eastAsia" w:ascii="楷体" w:hAnsi="Times New Roman" w:eastAsia="楷体" w:cs="楷体"/>
                <w:color w:val="000000"/>
                <w:kern w:val="0"/>
                <w:szCs w:val="21"/>
                <w:lang w:val="en-US" w:eastAsia="zh-CN"/>
              </w:rPr>
            </w:pPr>
            <w:r>
              <w:rPr>
                <w:rFonts w:hint="eastAsia" w:ascii="楷体" w:hAnsi="Times New Roman" w:eastAsia="楷体" w:cs="楷体"/>
                <w:color w:val="000000"/>
                <w:kern w:val="0"/>
                <w:szCs w:val="21"/>
                <w:lang w:val="en-US" w:eastAsia="zh-CN"/>
              </w:rPr>
              <w:t>2025年2月12日</w:t>
            </w:r>
            <w:r>
              <w:rPr>
                <w:rFonts w:ascii="楷体" w:hAnsi="Times New Roman" w:eastAsia="楷体" w:cs="楷体"/>
                <w:color w:val="000000"/>
                <w:kern w:val="0"/>
                <w:szCs w:val="21"/>
              </w:rPr>
              <w:t>17:00</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80" w:type="dxa"/>
            <w:noWrap w:val="0"/>
            <w:vAlign w:val="center"/>
          </w:tcPr>
          <w:p>
            <w:pPr>
              <w:jc w:val="center"/>
              <w:rPr>
                <w:rFonts w:hint="eastAsia" w:ascii="楷体" w:hAnsi="楷体" w:eastAsia="楷体"/>
                <w:kern w:val="2"/>
                <w:sz w:val="21"/>
                <w:szCs w:val="21"/>
                <w:highlight w:val="none"/>
                <w:lang w:val="en-US" w:eastAsia="zh-CN" w:bidi="ar-SA"/>
              </w:rPr>
            </w:pPr>
            <w:r>
              <w:rPr>
                <w:rFonts w:hint="eastAsia" w:ascii="楷体" w:hAnsi="楷体" w:eastAsia="楷体"/>
                <w:szCs w:val="21"/>
                <w:lang w:val="en-US" w:eastAsia="zh-CN"/>
              </w:rPr>
              <w:t>12</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2025年2月13日</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2025年5月21日</w:t>
            </w:r>
          </w:p>
        </w:tc>
        <w:tc>
          <w:tcPr>
            <w:tcW w:w="2381" w:type="dxa"/>
            <w:noWrap w:val="0"/>
            <w:vAlign w:val="center"/>
          </w:tcPr>
          <w:p>
            <w:pPr>
              <w:jc w:val="center"/>
              <w:rPr>
                <w:rFonts w:hint="eastAsia" w:ascii="楷体" w:hAnsi="楷体" w:eastAsia="楷体"/>
                <w:szCs w:val="21"/>
                <w:lang w:val="en-US" w:eastAsia="zh-CN"/>
              </w:rPr>
            </w:pPr>
            <w:r>
              <w:rPr>
                <w:rFonts w:hint="eastAsia" w:ascii="楷体" w:hAnsi="楷体" w:eastAsia="楷体"/>
                <w:sz w:val="21"/>
                <w:szCs w:val="21"/>
                <w:lang w:val="en-US" w:eastAsia="zh-CN"/>
              </w:rPr>
              <w:t>2025年5月13日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2025年5月21日</w:t>
            </w:r>
            <w:r>
              <w:rPr>
                <w:rFonts w:ascii="楷体" w:hAnsi="Times New Roman" w:eastAsia="楷体" w:cs="楷体"/>
                <w:color w:val="000000"/>
                <w:kern w:val="0"/>
                <w:szCs w:val="21"/>
              </w:rPr>
              <w:t>17:00</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2025年5月22日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lang w:val="en-US" w:eastAsia="zh-CN"/>
              </w:rPr>
              <w:t>13</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2025年5月22日</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2025年8月27日</w:t>
            </w:r>
          </w:p>
        </w:tc>
        <w:tc>
          <w:tcPr>
            <w:tcW w:w="2381" w:type="dxa"/>
            <w:noWrap w:val="0"/>
            <w:vAlign w:val="center"/>
          </w:tcPr>
          <w:p>
            <w:pPr>
              <w:jc w:val="center"/>
              <w:rPr>
                <w:rFonts w:hint="eastAsia" w:ascii="楷体" w:hAnsi="楷体" w:eastAsia="楷体"/>
                <w:szCs w:val="21"/>
                <w:lang w:val="en-US" w:eastAsia="zh-CN"/>
              </w:rPr>
            </w:pPr>
            <w:r>
              <w:rPr>
                <w:rFonts w:hint="eastAsia" w:ascii="楷体" w:hAnsi="楷体" w:eastAsia="楷体"/>
                <w:sz w:val="21"/>
                <w:szCs w:val="21"/>
                <w:lang w:val="en-US" w:eastAsia="zh-CN"/>
              </w:rPr>
              <w:t>2025年8月19日</w:t>
            </w:r>
            <w:r>
              <w:rPr>
                <w:rFonts w:hint="eastAsia" w:ascii="楷体" w:hAnsi="楷体" w:eastAsia="楷体"/>
                <w:szCs w:val="21"/>
                <w:lang w:val="en-US" w:eastAsia="zh-CN"/>
              </w:rPr>
              <w:t>9:00</w:t>
            </w:r>
          </w:p>
          <w:p>
            <w:pPr>
              <w:jc w:val="center"/>
              <w:rPr>
                <w:rFonts w:hint="eastAsia" w:ascii="楷体" w:hAnsi="楷体" w:eastAsia="楷体"/>
                <w:szCs w:val="21"/>
                <w:lang w:val="en-US" w:eastAsia="zh-CN"/>
              </w:rPr>
            </w:pPr>
            <w:r>
              <w:rPr>
                <w:rFonts w:hint="eastAsia" w:ascii="楷体" w:hAnsi="楷体" w:eastAsia="楷体"/>
                <w:szCs w:val="21"/>
                <w:lang w:val="en-US" w:eastAsia="zh-CN"/>
              </w:rPr>
              <w:t>至</w:t>
            </w:r>
          </w:p>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2025年8月27日</w:t>
            </w:r>
            <w:r>
              <w:rPr>
                <w:rFonts w:ascii="楷体" w:hAnsi="Times New Roman" w:eastAsia="楷体" w:cs="楷体"/>
                <w:color w:val="000000"/>
                <w:kern w:val="0"/>
                <w:szCs w:val="21"/>
              </w:rPr>
              <w:t>17:00</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2025年8月28日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14</w:t>
            </w:r>
          </w:p>
        </w:tc>
        <w:tc>
          <w:tcPr>
            <w:tcW w:w="1871" w:type="dxa"/>
            <w:noWrap w:val="0"/>
            <w:vAlign w:val="center"/>
          </w:tcPr>
          <w:p>
            <w:pPr>
              <w:jc w:val="center"/>
              <w:rPr>
                <w:rFonts w:hint="eastAsia" w:ascii="楷体" w:hAnsi="楷体" w:eastAsia="楷体"/>
                <w:sz w:val="21"/>
                <w:szCs w:val="21"/>
                <w:lang w:val="en-US" w:eastAsia="zh-CN"/>
              </w:rPr>
            </w:pPr>
            <w:r>
              <w:rPr>
                <w:rFonts w:hint="eastAsia" w:ascii="楷体" w:hAnsi="楷体" w:eastAsia="楷体"/>
                <w:sz w:val="21"/>
                <w:szCs w:val="21"/>
                <w:lang w:val="en-US" w:eastAsia="zh-CN"/>
              </w:rPr>
              <w:t>2025年8月28日</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楷体" w:eastAsia="楷体"/>
                <w:sz w:val="21"/>
                <w:szCs w:val="21"/>
                <w:lang w:val="en-US" w:eastAsia="zh-CN"/>
              </w:rPr>
              <w:t>2025年12月3日</w:t>
            </w:r>
          </w:p>
        </w:tc>
        <w:tc>
          <w:tcPr>
            <w:tcW w:w="2381" w:type="dxa"/>
            <w:noWrap w:val="0"/>
            <w:vAlign w:val="center"/>
          </w:tcPr>
          <w:p>
            <w:pPr>
              <w:jc w:val="center"/>
              <w:rPr>
                <w:rFonts w:ascii="楷体" w:hAnsi="楷体" w:eastAsia="楷体"/>
                <w:szCs w:val="21"/>
              </w:rPr>
            </w:pPr>
            <w:r>
              <w:rPr>
                <w:rFonts w:hint="eastAsia" w:ascii="楷体" w:hAnsi="楷体" w:eastAsia="楷体"/>
                <w:sz w:val="21"/>
                <w:szCs w:val="21"/>
                <w:lang w:val="en-US" w:eastAsia="zh-CN"/>
              </w:rPr>
              <w:t>2025年11月25</w:t>
            </w:r>
            <w:r>
              <w:rPr>
                <w:rFonts w:hint="eastAsia" w:ascii="楷体" w:hAnsi="楷体" w:eastAsia="楷体"/>
                <w:szCs w:val="21"/>
                <w:lang w:eastAsia="zh-CN"/>
              </w:rPr>
              <w:t>日</w:t>
            </w:r>
            <w:r>
              <w:rPr>
                <w:rFonts w:hint="eastAsia" w:ascii="楷体" w:hAnsi="楷体" w:eastAsia="楷体"/>
                <w:szCs w:val="21"/>
              </w:rPr>
              <w:t>9:00</w:t>
            </w:r>
          </w:p>
          <w:p>
            <w:pPr>
              <w:jc w:val="center"/>
              <w:rPr>
                <w:rFonts w:ascii="楷体" w:hAnsi="楷体" w:eastAsia="楷体"/>
                <w:szCs w:val="21"/>
              </w:rPr>
            </w:pPr>
            <w:r>
              <w:rPr>
                <w:rFonts w:hint="eastAsia" w:ascii="楷体" w:hAnsi="楷体" w:eastAsia="楷体"/>
                <w:szCs w:val="21"/>
              </w:rPr>
              <w:t>至</w:t>
            </w:r>
          </w:p>
          <w:p>
            <w:pPr>
              <w:jc w:val="center"/>
              <w:rPr>
                <w:rFonts w:hint="default" w:ascii="楷体" w:hAnsi="Times New Roman" w:eastAsia="楷体" w:cs="楷体"/>
                <w:color w:val="000000"/>
                <w:kern w:val="0"/>
                <w:szCs w:val="21"/>
                <w:highlight w:val="none"/>
                <w:lang w:val="en-US" w:eastAsia="zh-CN"/>
              </w:rPr>
            </w:pPr>
            <w:r>
              <w:rPr>
                <w:rFonts w:hint="eastAsia" w:ascii="楷体" w:hAnsi="楷体" w:eastAsia="楷体"/>
                <w:sz w:val="21"/>
                <w:szCs w:val="21"/>
                <w:lang w:val="en-US" w:eastAsia="zh-CN"/>
              </w:rPr>
              <w:t>2025年12月3日</w:t>
            </w:r>
            <w:r>
              <w:rPr>
                <w:rFonts w:hint="eastAsia" w:ascii="楷体" w:hAnsi="楷体" w:eastAsia="楷体"/>
                <w:szCs w:val="21"/>
              </w:rPr>
              <w:t>17:00</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楷体" w:eastAsia="楷体"/>
                <w:sz w:val="21"/>
                <w:szCs w:val="21"/>
                <w:lang w:val="en-US" w:eastAsia="zh-CN"/>
              </w:rPr>
              <w:t>2025年12月4日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jc w:val="center"/>
              <w:rPr>
                <w:rFonts w:hint="default" w:ascii="楷体" w:hAnsi="楷体" w:eastAsia="楷体"/>
                <w:szCs w:val="21"/>
                <w:highlight w:val="none"/>
                <w:lang w:val="en-US" w:eastAsia="zh-CN"/>
              </w:rPr>
            </w:pPr>
            <w:r>
              <w:rPr>
                <w:rFonts w:hint="eastAsia" w:ascii="楷体" w:hAnsi="楷体" w:eastAsia="楷体"/>
                <w:szCs w:val="21"/>
                <w:highlight w:val="none"/>
                <w:lang w:val="en-US" w:eastAsia="zh-CN"/>
              </w:rPr>
              <w:t>15</w:t>
            </w:r>
          </w:p>
        </w:tc>
        <w:tc>
          <w:tcPr>
            <w:tcW w:w="1871" w:type="dxa"/>
            <w:noWrap w:val="0"/>
            <w:vAlign w:val="center"/>
          </w:tcPr>
          <w:p>
            <w:pPr>
              <w:jc w:val="center"/>
              <w:rPr>
                <w:rFonts w:hint="eastAsia" w:ascii="楷体" w:hAnsi="Times New Roman" w:eastAsia="楷体" w:cs="楷体"/>
                <w:color w:val="000000"/>
                <w:kern w:val="0"/>
                <w:sz w:val="21"/>
                <w:szCs w:val="21"/>
                <w:highlight w:val="none"/>
                <w:lang w:val="en-US" w:eastAsia="zh-CN" w:bidi="ar-SA"/>
              </w:rPr>
            </w:pPr>
            <w:r>
              <w:rPr>
                <w:rFonts w:hint="eastAsia" w:ascii="楷体" w:hAnsi="楷体" w:eastAsia="楷体"/>
                <w:sz w:val="21"/>
                <w:szCs w:val="21"/>
                <w:lang w:val="en-US" w:eastAsia="zh-CN"/>
              </w:rPr>
              <w:t>2025年12月4日</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w:t>
            </w:r>
          </w:p>
        </w:tc>
        <w:tc>
          <w:tcPr>
            <w:tcW w:w="238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w:t>
            </w:r>
          </w:p>
        </w:tc>
        <w:tc>
          <w:tcPr>
            <w:tcW w:w="1871" w:type="dxa"/>
            <w:noWrap w:val="0"/>
            <w:vAlign w:val="center"/>
          </w:tcPr>
          <w:p>
            <w:pPr>
              <w:jc w:val="center"/>
              <w:rPr>
                <w:rFonts w:hint="default" w:ascii="楷体" w:hAnsi="Times New Roman" w:eastAsia="楷体" w:cs="楷体"/>
                <w:color w:val="000000"/>
                <w:kern w:val="0"/>
                <w:szCs w:val="21"/>
                <w:highlight w:val="none"/>
                <w:lang w:val="en-US" w:eastAsia="zh-CN"/>
              </w:rPr>
            </w:pPr>
            <w:r>
              <w:rPr>
                <w:rFonts w:hint="eastAsia" w:ascii="楷体" w:hAnsi="Times New Roman" w:eastAsia="楷体" w:cs="楷体"/>
                <w:color w:val="000000"/>
                <w:kern w:val="0"/>
                <w:szCs w:val="21"/>
                <w:highlight w:val="none"/>
                <w:lang w:val="en-US" w:eastAsia="zh-CN"/>
              </w:rPr>
              <w:t>-</w:t>
            </w:r>
          </w:p>
        </w:tc>
      </w:tr>
    </w:tbl>
    <w:p>
      <w:pPr>
        <w:numPr>
          <w:ilvl w:val="0"/>
          <w:numId w:val="15"/>
        </w:numPr>
        <w:tabs>
          <w:tab w:val="left" w:pos="728"/>
        </w:tabs>
        <w:ind w:left="0" w:firstLine="480" w:firstLineChars="200"/>
        <w:rPr>
          <w:rFonts w:hint="eastAsia" w:ascii="楷体" w:hAnsi="楷体" w:eastAsia="楷体" w:cs="Calibri"/>
          <w:sz w:val="24"/>
          <w:szCs w:val="24"/>
        </w:rPr>
      </w:pPr>
      <w:r>
        <w:rPr>
          <w:rFonts w:ascii="楷体" w:hAnsi="楷体" w:eastAsia="楷体" w:cs="Calibri"/>
          <w:sz w:val="24"/>
          <w:szCs w:val="24"/>
        </w:rPr>
        <w:t>申购</w:t>
      </w:r>
      <w:r>
        <w:rPr>
          <w:rFonts w:hint="eastAsia" w:ascii="楷体" w:hAnsi="楷体" w:eastAsia="楷体" w:cs="Calibri"/>
          <w:sz w:val="24"/>
          <w:szCs w:val="24"/>
        </w:rPr>
        <w:t>、</w:t>
      </w:r>
      <w:r>
        <w:rPr>
          <w:rFonts w:ascii="楷体" w:hAnsi="楷体" w:eastAsia="楷体" w:cs="Calibri"/>
          <w:sz w:val="24"/>
          <w:szCs w:val="24"/>
        </w:rPr>
        <w:t>赎回的数额限制</w:t>
      </w:r>
      <w:r>
        <w:rPr>
          <w:rFonts w:hint="eastAsia" w:ascii="楷体" w:hAnsi="楷体" w:eastAsia="楷体" w:cs="Calibri"/>
          <w:sz w:val="24"/>
          <w:szCs w:val="24"/>
        </w:rPr>
        <w:t>：</w:t>
      </w:r>
      <w:r>
        <w:rPr>
          <w:rFonts w:ascii="楷体" w:hAnsi="楷体" w:eastAsia="楷体" w:cs="Calibri"/>
          <w:sz w:val="24"/>
          <w:szCs w:val="24"/>
          <w:highlight w:val="none"/>
        </w:rPr>
        <w:t>（以各销售机构设置为准）</w:t>
      </w:r>
    </w:p>
    <w:p>
      <w:pPr>
        <w:tabs>
          <w:tab w:val="left" w:pos="728"/>
        </w:tabs>
        <w:ind w:firstLine="486" w:firstLineChars="206"/>
        <w:rPr>
          <w:rFonts w:hint="eastAsia" w:ascii="楷体" w:hAnsi="楷体" w:eastAsia="楷体" w:cs="Calibri"/>
          <w:sz w:val="24"/>
          <w:szCs w:val="24"/>
        </w:rPr>
      </w:pPr>
      <w:r>
        <w:rPr>
          <w:rFonts w:hint="eastAsia" w:ascii="楷体" w:hAnsi="楷体" w:eastAsia="楷体" w:cs="宋体"/>
          <w:spacing w:val="-2"/>
          <w:sz w:val="24"/>
          <w:szCs w:val="24"/>
        </w:rPr>
        <w:t>A份额：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ascii="楷体" w:hAnsi="楷体" w:eastAsia="楷体" w:cs="Calibri"/>
          <w:sz w:val="24"/>
          <w:szCs w:val="24"/>
        </w:rPr>
      </w:pPr>
      <w:r>
        <w:rPr>
          <w:rFonts w:ascii="楷体" w:hAnsi="楷体" w:eastAsia="楷体" w:cs="宋体"/>
          <w:spacing w:val="-2"/>
          <w:sz w:val="24"/>
          <w:szCs w:val="24"/>
        </w:rPr>
        <w:t>C</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hint="eastAsia" w:ascii="楷体" w:hAnsi="楷体" w:eastAsia="楷体"/>
          <w:sz w:val="24"/>
          <w:szCs w:val="24"/>
        </w:rPr>
      </w:pPr>
      <w:r>
        <w:rPr>
          <w:rFonts w:ascii="楷体" w:hAnsi="楷体" w:eastAsia="楷体" w:cs="宋体"/>
          <w:spacing w:val="-2"/>
          <w:sz w:val="24"/>
          <w:szCs w:val="24"/>
        </w:rPr>
        <w:t>D</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w:t>
      </w:r>
      <w:r>
        <w:rPr>
          <w:rFonts w:hint="eastAsia" w:ascii="楷体" w:hAnsi="楷体" w:eastAsia="楷体" w:cs="Calibri"/>
          <w:sz w:val="24"/>
          <w:szCs w:val="24"/>
          <w:lang w:val="en-US" w:eastAsia="zh-CN"/>
        </w:rPr>
        <w:t>个人</w:t>
      </w:r>
      <w:r>
        <w:rPr>
          <w:rFonts w:hint="eastAsia" w:ascii="楷体" w:hAnsi="楷体" w:eastAsia="楷体" w:cs="Calibri"/>
          <w:sz w:val="24"/>
          <w:szCs w:val="24"/>
        </w:rPr>
        <w:t>投资者申购金额不得少于</w:t>
      </w:r>
      <w:r>
        <w:rPr>
          <w:rFonts w:ascii="楷体" w:hAnsi="楷体" w:eastAsia="楷体" w:cs="Calibri"/>
          <w:sz w:val="24"/>
          <w:szCs w:val="24"/>
        </w:rPr>
        <w:t>50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w:t>
      </w:r>
      <w:r>
        <w:rPr>
          <w:rFonts w:hint="eastAsia" w:ascii="楷体" w:hAnsi="楷体" w:eastAsia="楷体" w:cs="Calibri"/>
          <w:sz w:val="24"/>
          <w:szCs w:val="24"/>
          <w:lang w:val="en-US" w:eastAsia="zh-CN"/>
        </w:rPr>
        <w:t>机构</w:t>
      </w:r>
      <w:r>
        <w:rPr>
          <w:rFonts w:hint="eastAsia" w:ascii="楷体" w:hAnsi="楷体" w:eastAsia="楷体" w:cs="Calibri"/>
          <w:sz w:val="24"/>
          <w:szCs w:val="24"/>
        </w:rPr>
        <w:t>投资者申购金额不得少于</w:t>
      </w:r>
      <w:r>
        <w:rPr>
          <w:rFonts w:ascii="楷体" w:hAnsi="楷体" w:eastAsia="楷体" w:cs="Calibri"/>
          <w:sz w:val="24"/>
          <w:szCs w:val="24"/>
        </w:rPr>
        <w:t>50</w:t>
      </w:r>
      <w:r>
        <w:rPr>
          <w:rFonts w:hint="eastAsia" w:ascii="楷体" w:hAnsi="楷体" w:eastAsia="楷体" w:cs="Calibri"/>
          <w:sz w:val="24"/>
          <w:szCs w:val="24"/>
          <w:lang w:val="en-US" w:eastAsia="zh-CN"/>
        </w:rPr>
        <w:t>00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w:t>
      </w:r>
      <w:r>
        <w:rPr>
          <w:rFonts w:hint="eastAsia" w:ascii="楷体" w:hAnsi="楷体" w:eastAsia="楷体" w:cs="Calibri"/>
          <w:sz w:val="24"/>
          <w:szCs w:val="24"/>
          <w:lang w:eastAsia="zh-CN"/>
        </w:rPr>
        <w:t>；</w:t>
      </w:r>
      <w:r>
        <w:rPr>
          <w:rFonts w:hint="eastAsia" w:ascii="楷体" w:hAnsi="楷体" w:eastAsia="楷体" w:cs="Calibri"/>
          <w:sz w:val="24"/>
          <w:szCs w:val="24"/>
        </w:rPr>
        <w:t>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86" w:firstLineChars="206"/>
        <w:rPr>
          <w:rFonts w:hint="eastAsia" w:ascii="楷体" w:hAnsi="楷体" w:eastAsia="楷体"/>
          <w:sz w:val="24"/>
          <w:szCs w:val="24"/>
        </w:rPr>
      </w:pPr>
      <w:r>
        <w:rPr>
          <w:rFonts w:hint="eastAsia" w:ascii="楷体" w:hAnsi="楷体" w:eastAsia="楷体" w:cs="宋体"/>
          <w:spacing w:val="-2"/>
          <w:sz w:val="24"/>
          <w:szCs w:val="24"/>
          <w:lang w:val="en-US" w:eastAsia="zh-CN"/>
        </w:rPr>
        <w:t>E</w:t>
      </w:r>
      <w:r>
        <w:rPr>
          <w:rFonts w:hint="eastAsia" w:ascii="楷体" w:hAnsi="楷体" w:eastAsia="楷体" w:cs="宋体"/>
          <w:spacing w:val="-2"/>
          <w:sz w:val="24"/>
          <w:szCs w:val="24"/>
        </w:rPr>
        <w:t>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万元的整数倍递增，申购时若为首次投资，申购金额不得少于</w:t>
      </w:r>
      <w:r>
        <w:rPr>
          <w:rFonts w:hint="eastAsia" w:ascii="楷体" w:hAnsi="楷体" w:eastAsia="楷体" w:cs="Calibri"/>
          <w:sz w:val="24"/>
          <w:szCs w:val="24"/>
          <w:lang w:val="en-US" w:eastAsia="zh-CN"/>
        </w:rPr>
        <w:t>100</w:t>
      </w:r>
      <w:r>
        <w:rPr>
          <w:rFonts w:hint="eastAsia" w:ascii="楷体" w:hAnsi="楷体" w:eastAsia="楷体" w:cs="Calibri"/>
          <w:sz w:val="24"/>
          <w:szCs w:val="24"/>
        </w:rPr>
        <w:t>万元，并以</w:t>
      </w:r>
      <w:r>
        <w:rPr>
          <w:rFonts w:ascii="楷体" w:hAnsi="楷体" w:eastAsia="楷体" w:cs="Calibri"/>
          <w:sz w:val="24"/>
          <w:szCs w:val="24"/>
        </w:rPr>
        <w:t>1</w:t>
      </w:r>
      <w:r>
        <w:rPr>
          <w:rFonts w:hint="eastAsia" w:ascii="楷体" w:hAnsi="楷体" w:eastAsia="楷体" w:cs="Calibri"/>
          <w:sz w:val="24"/>
          <w:szCs w:val="24"/>
        </w:rPr>
        <w:t>万元的整数倍递增；投资者每次赎回申请不得低于1份产品份额，赎回时或赎回后保留的产品份额余额不足1份的，在赎回时需一次全部赎回。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F份额：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W份额：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tabs>
          <w:tab w:val="left" w:pos="728"/>
        </w:tabs>
        <w:ind w:firstLine="494" w:firstLineChars="206"/>
        <w:rPr>
          <w:rFonts w:hint="eastAsia" w:ascii="楷体" w:hAnsi="楷体" w:eastAsia="楷体"/>
          <w:sz w:val="24"/>
          <w:szCs w:val="24"/>
        </w:rPr>
      </w:pPr>
      <w:r>
        <w:rPr>
          <w:rFonts w:hint="eastAsia" w:ascii="楷体" w:hAnsi="楷体" w:eastAsia="楷体" w:cs="Calibri"/>
          <w:sz w:val="24"/>
          <w:szCs w:val="24"/>
          <w:lang w:val="en-US" w:eastAsia="zh-CN"/>
        </w:rPr>
        <w:t>S份额：</w:t>
      </w:r>
      <w:r>
        <w:rPr>
          <w:rFonts w:hint="eastAsia" w:ascii="楷体" w:hAnsi="楷体" w:eastAsia="楷体" w:cs="Calibri"/>
          <w:sz w:val="24"/>
          <w:szCs w:val="24"/>
        </w:rPr>
        <w:t>投资者每次申购金额以</w:t>
      </w:r>
      <w:r>
        <w:rPr>
          <w:rFonts w:ascii="楷体" w:hAnsi="楷体" w:eastAsia="楷体" w:cs="Calibri"/>
          <w:sz w:val="24"/>
          <w:szCs w:val="24"/>
        </w:rPr>
        <w:t>1</w:t>
      </w:r>
      <w:r>
        <w:rPr>
          <w:rFonts w:hint="eastAsia" w:ascii="楷体" w:hAnsi="楷体" w:eastAsia="楷体" w:cs="Calibri"/>
          <w:sz w:val="24"/>
          <w:szCs w:val="24"/>
        </w:rPr>
        <w:t>元的整数倍递增，申购时若为首次投资，申购金额不得少于</w:t>
      </w:r>
      <w:r>
        <w:rPr>
          <w:rFonts w:ascii="楷体" w:hAnsi="楷体" w:eastAsia="楷体" w:cs="Calibri"/>
          <w:sz w:val="24"/>
          <w:szCs w:val="24"/>
        </w:rPr>
        <w:t>1</w:t>
      </w:r>
      <w:r>
        <w:rPr>
          <w:rFonts w:hint="eastAsia" w:ascii="楷体" w:hAnsi="楷体" w:eastAsia="楷体" w:cs="Calibri"/>
          <w:sz w:val="24"/>
          <w:szCs w:val="24"/>
        </w:rPr>
        <w:t>元，并以</w:t>
      </w:r>
      <w:r>
        <w:rPr>
          <w:rFonts w:ascii="楷体" w:hAnsi="楷体" w:eastAsia="楷体" w:cs="Calibri"/>
          <w:sz w:val="24"/>
          <w:szCs w:val="24"/>
        </w:rPr>
        <w:t>1</w:t>
      </w:r>
      <w:r>
        <w:rPr>
          <w:rFonts w:hint="eastAsia" w:ascii="楷体" w:hAnsi="楷体" w:eastAsia="楷体" w:cs="Calibri"/>
          <w:sz w:val="24"/>
          <w:szCs w:val="24"/>
        </w:rPr>
        <w:t>元的整数倍递增；投资者每次赎回申请不得低于1份产品份额，赎回时或赎回后保留的产品份额余额不足1份的，在赎回时需一次全部赎回。</w:t>
      </w:r>
      <w:r>
        <w:rPr>
          <w:rFonts w:hint="eastAsia" w:ascii="楷体" w:hAnsi="楷体" w:eastAsia="楷体"/>
          <w:sz w:val="24"/>
          <w:szCs w:val="24"/>
        </w:rPr>
        <w:t>（以各销售机构设置为准）</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撤单操作：在开放计划约定时间内提交的申购/赎回申请可以在产品开放日17:00前撤销，之后不得撤销。</w:t>
      </w:r>
      <w:r>
        <w:rPr>
          <w:rFonts w:hint="eastAsia" w:ascii="楷体" w:hAnsi="楷体" w:eastAsia="楷体"/>
          <w:sz w:val="24"/>
          <w:szCs w:val="24"/>
        </w:rPr>
        <w:t>（以各销售机构设置的撤单截止时间为准）</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申购、赎回的操作</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提出申购、赎回申请</w:t>
      </w:r>
    </w:p>
    <w:p>
      <w:pPr>
        <w:ind w:firstLine="480" w:firstLineChars="200"/>
        <w:rPr>
          <w:rFonts w:hint="eastAsia" w:ascii="楷体" w:hAnsi="楷体" w:eastAsia="楷体"/>
          <w:sz w:val="24"/>
          <w:szCs w:val="24"/>
        </w:rPr>
      </w:pPr>
      <w:r>
        <w:rPr>
          <w:rFonts w:hint="eastAsia" w:ascii="楷体" w:hAnsi="楷体" w:eastAsia="楷体"/>
          <w:sz w:val="24"/>
          <w:szCs w:val="24"/>
        </w:rPr>
        <w:t>投资者必须在产品开放计划内提出申购、赎回申请。投资者提出申购申请时，须备足购买资金。投资者提出赎回申请时，须有足够的理财产品份额余额。</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申购、赎回的确认</w:t>
      </w:r>
    </w:p>
    <w:p>
      <w:pPr>
        <w:ind w:firstLine="480" w:firstLineChars="200"/>
        <w:rPr>
          <w:rFonts w:hint="eastAsia" w:ascii="楷体" w:hAnsi="楷体" w:eastAsia="楷体"/>
          <w:sz w:val="24"/>
          <w:szCs w:val="24"/>
        </w:rPr>
      </w:pPr>
      <w:r>
        <w:rPr>
          <w:rFonts w:hint="eastAsia" w:ascii="楷体" w:hAnsi="楷体" w:eastAsia="楷体"/>
          <w:sz w:val="24"/>
          <w:szCs w:val="24"/>
        </w:rPr>
        <w:t>管理人在每个开放日后的第1个工作日对投资者的申购、赎回申请的有效性进行登记并确认。</w:t>
      </w:r>
    </w:p>
    <w:p>
      <w:pPr>
        <w:numPr>
          <w:ilvl w:val="0"/>
          <w:numId w:val="16"/>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申购、赎回的支付</w:t>
      </w:r>
    </w:p>
    <w:p>
      <w:pPr>
        <w:ind w:firstLine="480" w:firstLineChars="200"/>
        <w:rPr>
          <w:rFonts w:hint="eastAsia" w:ascii="楷体" w:hAnsi="楷体" w:eastAsia="楷体"/>
          <w:sz w:val="24"/>
          <w:szCs w:val="24"/>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申购份额、赎回金额的计算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赎回金额以四舍五入的方法保留到小数点后两位</w:t>
      </w:r>
      <w:r>
        <w:rPr>
          <w:rFonts w:hint="eastAsia" w:ascii="楷体" w:hAnsi="楷体" w:eastAsia="楷体"/>
          <w:sz w:val="24"/>
          <w:szCs w:val="24"/>
          <w:highlight w:val="none"/>
          <w:lang w:eastAsia="zh-CN"/>
        </w:rPr>
        <w:t>。</w:t>
      </w:r>
    </w:p>
    <w:p>
      <w:pPr>
        <w:tabs>
          <w:tab w:val="left" w:pos="993"/>
        </w:tabs>
        <w:ind w:left="420" w:leftChars="200"/>
        <w:rPr>
          <w:rFonts w:hint="eastAsia" w:ascii="楷体" w:hAnsi="楷体" w:eastAsia="楷体"/>
          <w:sz w:val="24"/>
          <w:szCs w:val="24"/>
          <w:u w:val="single"/>
        </w:rPr>
      </w:pPr>
      <w:r>
        <w:rPr>
          <w:rFonts w:hint="eastAsia" w:ascii="楷体" w:hAnsi="楷体" w:eastAsia="楷体"/>
          <w:sz w:val="24"/>
          <w:szCs w:val="24"/>
        </w:rPr>
        <w:t>计算示例：（</w:t>
      </w:r>
      <w:r>
        <w:rPr>
          <w:rFonts w:hint="eastAsia" w:ascii="楷体" w:hAnsi="楷体" w:eastAsia="楷体"/>
          <w:b/>
          <w:bCs/>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outlineLvl w:val="2"/>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0000元，</w:t>
      </w:r>
      <w:r>
        <w:rPr>
          <w:rFonts w:hint="eastAsia" w:ascii="楷体" w:hAnsi="楷体" w:eastAsia="楷体"/>
          <w:sz w:val="24"/>
          <w:szCs w:val="24"/>
        </w:rPr>
        <w:t>对应申购的开放日产品单位净值</w:t>
      </w:r>
      <w:r>
        <w:rPr>
          <w:rFonts w:ascii="楷体" w:hAnsi="楷体" w:eastAsia="楷体"/>
          <w:sz w:val="24"/>
          <w:szCs w:val="24"/>
        </w:rPr>
        <w:t>为1.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客户申购确认份额为9088.15份，投资者后续提交赎回申请，赎回其所持有全部份额，对应赎回开放日产品单位净值为1.120221。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w:t>
      </w:r>
      <w:r>
        <w:rPr>
          <w:rFonts w:ascii="楷体" w:hAnsi="楷体" w:eastAsia="楷体"/>
          <w:sz w:val="24"/>
          <w:szCs w:val="24"/>
        </w:rPr>
        <w:t>×</w:t>
      </w:r>
      <w:r>
        <w:rPr>
          <w:rFonts w:hint="eastAsia" w:ascii="楷体" w:hAnsi="楷体" w:eastAsia="楷体"/>
          <w:sz w:val="24"/>
          <w:szCs w:val="24"/>
        </w:rPr>
        <w:t>1.120221=10180.74元</w:t>
      </w:r>
    </w:p>
    <w:p>
      <w:pPr>
        <w:ind w:firstLine="480" w:firstLineChars="200"/>
        <w:rPr>
          <w:rFonts w:hint="eastAsia" w:ascii="楷体" w:hAnsi="楷体" w:eastAsia="楷体"/>
          <w:sz w:val="24"/>
          <w:szCs w:val="24"/>
        </w:rPr>
      </w:pPr>
      <w:r>
        <w:rPr>
          <w:rFonts w:hint="eastAsia" w:ascii="楷体" w:hAnsi="楷体" w:eastAsia="楷体"/>
          <w:sz w:val="24"/>
          <w:szCs w:val="24"/>
        </w:rPr>
        <w:t>投资者</w:t>
      </w:r>
      <w:r>
        <w:rPr>
          <w:rFonts w:ascii="楷体" w:hAnsi="楷体" w:eastAsia="楷体"/>
          <w:sz w:val="24"/>
          <w:szCs w:val="24"/>
        </w:rPr>
        <w:t>投资收益金额=</w:t>
      </w:r>
      <w:r>
        <w:rPr>
          <w:rFonts w:hint="eastAsia" w:ascii="楷体" w:hAnsi="楷体" w:eastAsia="楷体"/>
          <w:sz w:val="24"/>
          <w:szCs w:val="24"/>
        </w:rPr>
        <w:t>10180.74</w:t>
      </w:r>
      <w:r>
        <w:rPr>
          <w:rFonts w:ascii="楷体" w:hAnsi="楷体" w:eastAsia="楷体"/>
          <w:sz w:val="24"/>
          <w:szCs w:val="24"/>
        </w:rPr>
        <w:t>-</w:t>
      </w:r>
      <w:r>
        <w:rPr>
          <w:rFonts w:hint="eastAsia" w:ascii="楷体" w:hAnsi="楷体" w:eastAsia="楷体"/>
          <w:sz w:val="24"/>
          <w:szCs w:val="24"/>
        </w:rPr>
        <w:t>10000=180.74元</w:t>
      </w:r>
    </w:p>
    <w:p>
      <w:pPr>
        <w:numPr>
          <w:ilvl w:val="0"/>
          <w:numId w:val="17"/>
        </w:numPr>
        <w:tabs>
          <w:tab w:val="left" w:pos="728"/>
        </w:tabs>
        <w:ind w:left="0" w:firstLine="480" w:firstLineChars="200"/>
        <w:outlineLvl w:val="2"/>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假定投资者申购10000元，对应申购的开放日产品单位净值为1.100334，客户申购确认份额为9088.15份，投资者后续提交赎回申请，赎回其所持有本产品全部份额，对应赎回开放日产品单位净值为1.094231。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10</w:t>
      </w:r>
      <w:r>
        <w:rPr>
          <w:rFonts w:ascii="楷体" w:hAnsi="楷体" w:eastAsia="楷体"/>
          <w:sz w:val="24"/>
          <w:szCs w:val="24"/>
        </w:rPr>
        <w:t>0334</w:t>
      </w:r>
      <w:r>
        <w:rPr>
          <w:rFonts w:hint="eastAsia" w:ascii="楷体" w:hAnsi="楷体" w:eastAsia="楷体"/>
          <w:sz w:val="24"/>
          <w:szCs w:val="24"/>
        </w:rPr>
        <w:t>=9088.15份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投资者赎回兑付金额=9088.15×1.094231=9944.54元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投资者投资收益金额=9944.54-10000=-55.46元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投资者投资本理财产品实际亏损55.46元，</w:t>
      </w:r>
      <w:r>
        <w:rPr>
          <w:rFonts w:hint="eastAsia" w:ascii="楷体" w:hAnsi="楷体" w:eastAsia="楷体"/>
          <w:b/>
          <w:sz w:val="24"/>
          <w:szCs w:val="24"/>
          <w:u w:val="single"/>
        </w:rPr>
        <w:t>在最不利的</w:t>
      </w:r>
      <w:r>
        <w:rPr>
          <w:rFonts w:hint="eastAsia" w:ascii="楷体" w:hAnsi="楷体" w:eastAsia="楷体"/>
          <w:b/>
          <w:sz w:val="24"/>
          <w:szCs w:val="24"/>
          <w:u w:val="single"/>
          <w:lang w:val="en-US" w:eastAsia="zh-CN"/>
        </w:rPr>
        <w:t>情形</w:t>
      </w:r>
      <w:r>
        <w:rPr>
          <w:rFonts w:hint="eastAsia" w:ascii="楷体" w:hAnsi="楷体" w:eastAsia="楷体"/>
          <w:b/>
          <w:sz w:val="24"/>
          <w:szCs w:val="24"/>
          <w:u w:val="single"/>
        </w:rPr>
        <w:t>下，投资者可能损失</w:t>
      </w:r>
      <w:r>
        <w:rPr>
          <w:rFonts w:ascii="楷体" w:hAnsi="楷体" w:eastAsia="楷体"/>
          <w:b/>
          <w:sz w:val="24"/>
          <w:szCs w:val="24"/>
          <w:u w:val="single"/>
        </w:rPr>
        <w:t>100%</w:t>
      </w:r>
      <w:r>
        <w:rPr>
          <w:rFonts w:hint="eastAsia" w:ascii="楷体" w:hAnsi="楷体" w:eastAsia="楷体"/>
          <w:b/>
          <w:sz w:val="24"/>
          <w:szCs w:val="24"/>
          <w:u w:val="single"/>
        </w:rPr>
        <w:t>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巨额赎回的认定及处理</w:t>
      </w:r>
    </w:p>
    <w:p>
      <w:pPr>
        <w:numPr>
          <w:ilvl w:val="0"/>
          <w:numId w:val="18"/>
        </w:numPr>
        <w:tabs>
          <w:tab w:val="left" w:pos="728"/>
        </w:tabs>
        <w:ind w:left="0" w:firstLine="480" w:firstLineChars="200"/>
        <w:outlineLvl w:val="2"/>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巨额赎回的认定</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outlineLvl w:val="2"/>
        <w:rPr>
          <w:rFonts w:hint="eastAsia"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1）</w:t>
      </w:r>
      <w:r>
        <w:rPr>
          <w:rFonts w:hint="eastAsia" w:ascii="楷体" w:hAnsi="楷体" w:eastAsia="楷体"/>
          <w:sz w:val="24"/>
          <w:szCs w:val="24"/>
          <w:highlight w:val="none"/>
        </w:rPr>
        <w:t>全额赎回：当产品管理人有能力兑付投资者的全部赎回申请时，将在申请确认日按投资者申请赎回份额执行正常赎回程序。</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2）</w:t>
      </w:r>
      <w:r>
        <w:rPr>
          <w:rFonts w:hint="eastAsia" w:ascii="楷体" w:hAnsi="楷体" w:eastAsia="楷体"/>
          <w:sz w:val="24"/>
          <w:szCs w:val="24"/>
          <w:highlight w:val="none"/>
        </w:rPr>
        <w:t>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3）</w:t>
      </w:r>
      <w:r>
        <w:rPr>
          <w:rFonts w:hint="eastAsia" w:ascii="楷体" w:hAnsi="楷体" w:eastAsia="楷体"/>
          <w:sz w:val="24"/>
          <w:szCs w:val="24"/>
          <w:highlight w:val="none"/>
        </w:rPr>
        <w:t>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highlight w:val="none"/>
          <w:lang w:val="en-US" w:eastAsia="zh-CN"/>
        </w:rPr>
        <w:t>销售</w:t>
      </w:r>
      <w:r>
        <w:rPr>
          <w:rFonts w:hint="eastAsia" w:ascii="楷体" w:hAnsi="楷体" w:eastAsia="楷体"/>
          <w:sz w:val="24"/>
          <w:szCs w:val="24"/>
          <w:highlight w:val="none"/>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lang w:eastAsia="zh-CN"/>
        </w:rPr>
        <w:t>）</w:t>
      </w:r>
      <w:r>
        <w:rPr>
          <w:rFonts w:hint="eastAsia" w:ascii="楷体" w:hAnsi="楷体" w:eastAsia="楷体" w:cs="Calibri"/>
          <w:sz w:val="24"/>
          <w:szCs w:val="24"/>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5</w:t>
      </w:r>
      <w:r>
        <w:rPr>
          <w:rFonts w:hint="eastAsia" w:ascii="楷体" w:hAnsi="楷体" w:eastAsia="楷体" w:cs="Calibri"/>
          <w:sz w:val="24"/>
          <w:szCs w:val="24"/>
          <w:lang w:eastAsia="zh-CN"/>
        </w:rPr>
        <w:t>）</w:t>
      </w:r>
      <w:r>
        <w:rPr>
          <w:rFonts w:hint="eastAsia" w:ascii="楷体" w:hAnsi="楷体" w:eastAsia="楷体" w:cs="Calibri"/>
          <w:sz w:val="24"/>
          <w:szCs w:val="24"/>
        </w:rPr>
        <w:t>赎回资金到账：未发生</w:t>
      </w:r>
      <w:r>
        <w:rPr>
          <w:rFonts w:ascii="楷体" w:hAnsi="楷体" w:eastAsia="楷体" w:cs="Calibri"/>
          <w:sz w:val="24"/>
          <w:szCs w:val="24"/>
        </w:rPr>
        <w:t>巨额赎回的情况下，</w:t>
      </w:r>
      <w:r>
        <w:rPr>
          <w:rFonts w:hint="eastAsia" w:ascii="楷体" w:hAnsi="楷体" w:eastAsia="楷体" w:cs="Calibri"/>
          <w:sz w:val="24"/>
          <w:szCs w:val="24"/>
        </w:rPr>
        <w:t>实际赎回确认日后</w:t>
      </w:r>
      <w:r>
        <w:rPr>
          <w:rFonts w:hint="eastAsia" w:ascii="楷体" w:hAnsi="楷体" w:eastAsia="楷体" w:cs="Calibri"/>
          <w:sz w:val="24"/>
          <w:szCs w:val="24"/>
          <w:lang w:val="en-US" w:eastAsia="zh-CN"/>
        </w:rPr>
        <w:t>2</w:t>
      </w:r>
      <w:r>
        <w:rPr>
          <w:rFonts w:hint="eastAsia" w:ascii="楷体" w:hAnsi="楷体" w:eastAsia="楷体" w:cs="Calibri"/>
          <w:sz w:val="24"/>
          <w:szCs w:val="24"/>
        </w:rPr>
        <w:t>个工作日内到达投资者资金账户。</w:t>
      </w:r>
    </w:p>
    <w:p>
      <w:pPr>
        <w:numPr>
          <w:ilvl w:val="0"/>
          <w:numId w:val="14"/>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特殊情形及处理</w:t>
      </w:r>
    </w:p>
    <w:p>
      <w:pPr>
        <w:ind w:firstLine="482" w:firstLineChars="200"/>
        <w:outlineLvl w:val="2"/>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（1）不可抗力的原因导致产品无法正常运作</w:t>
      </w:r>
      <w:r>
        <w:rPr>
          <w:rFonts w:hint="eastAsia" w:ascii="楷体" w:hAnsi="楷体" w:eastAsia="楷体" w:cs="Calibri"/>
          <w:sz w:val="24"/>
          <w:szCs w:val="24"/>
          <w:lang w:eastAsia="zh-CN"/>
        </w:rPr>
        <w:t>。</w:t>
      </w:r>
    </w:p>
    <w:p>
      <w:pPr>
        <w:numPr>
          <w:ilvl w:val="0"/>
          <w:numId w:val="0"/>
        </w:numPr>
        <w:tabs>
          <w:tab w:val="left" w:pos="728"/>
        </w:tabs>
        <w:ind w:left="0" w:leftChars="0"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（2）超出产品单一投资者持有上限</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outlineLvl w:val="2"/>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（1）不可抗力的原因导致管理人不能支付赎回款项</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（2）触发巨额赎回条款</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（3）发生《理财产品说明书》约定的暂停估值的情形。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（4）当接受某笔或某些赎回申请可能对存量理财计划份额持有人利益构成潜在重大不利影响时。</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（5）发生单个投资者单个开放日申请赎回理财计划份额超过理财产品总份额10%的情形。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w:t>
      </w:r>
      <w:r>
        <w:rPr>
          <w:rFonts w:hint="eastAsia" w:ascii="楷体" w:hAnsi="楷体" w:eastAsia="楷体" w:cs="Calibri"/>
          <w:sz w:val="24"/>
          <w:szCs w:val="24"/>
          <w:lang w:val="en-US" w:eastAsia="zh-CN"/>
        </w:rPr>
        <w:t>赎回</w:t>
      </w:r>
      <w:r>
        <w:rPr>
          <w:rFonts w:hint="eastAsia" w:ascii="楷体" w:hAnsi="楷体" w:eastAsia="楷体" w:cs="Calibri"/>
          <w:sz w:val="24"/>
          <w:szCs w:val="24"/>
        </w:rPr>
        <w:t>业务的办理。</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估值要求</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本产品资产估值的目的是客观、准确的反映资产净值，确定理财产品资产净值，并为理财产品的</w:t>
      </w:r>
      <w:r>
        <w:rPr>
          <w:rFonts w:hint="eastAsia" w:ascii="楷体" w:hAnsi="楷体" w:eastAsia="楷体" w:cs="Calibri"/>
          <w:sz w:val="24"/>
          <w:szCs w:val="24"/>
          <w:lang w:val="en-US" w:eastAsia="zh-CN"/>
        </w:rPr>
        <w:t>申购、赎回和</w:t>
      </w:r>
      <w:r>
        <w:rPr>
          <w:rFonts w:hint="eastAsia" w:ascii="楷体" w:hAnsi="楷体" w:eastAsia="楷体" w:cs="Calibri"/>
          <w:sz w:val="24"/>
          <w:szCs w:val="24"/>
        </w:rPr>
        <w:t>兑付提供计价依据。</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本产品单位净值精确到小数点后6位，小数点6位后截位。</w:t>
      </w:r>
    </w:p>
    <w:p>
      <w:pPr>
        <w:numPr>
          <w:ilvl w:val="0"/>
          <w:numId w:val="2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本产品每日估值，存续期内每周按说明书约定方式披露单位净值，每个开放日结束后2个工作日内通过本理财产品说明书约定方式披露上一投资周期终止日的单位净值、份额累计净值、认</w:t>
      </w:r>
      <w:r>
        <w:rPr>
          <w:rFonts w:hint="eastAsia" w:ascii="楷体" w:hAnsi="楷体" w:eastAsia="楷体" w:cs="Calibri"/>
          <w:sz w:val="24"/>
          <w:szCs w:val="24"/>
          <w:lang w:val="en-US" w:eastAsia="zh-CN"/>
        </w:rPr>
        <w:t>/申</w:t>
      </w:r>
      <w:r>
        <w:rPr>
          <w:rFonts w:hint="eastAsia" w:ascii="楷体" w:hAnsi="楷体" w:eastAsia="楷体" w:cs="Calibri"/>
          <w:sz w:val="24"/>
          <w:szCs w:val="24"/>
        </w:rPr>
        <w:t>购价格和赎回价格。</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估值方法</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w:t>
      </w:r>
      <w:r>
        <w:rPr>
          <w:rFonts w:hint="eastAsia" w:ascii="楷体" w:hAnsi="楷体" w:eastAsia="楷体"/>
          <w:sz w:val="24"/>
          <w:szCs w:val="24"/>
          <w:highlight w:val="none"/>
        </w:rPr>
        <w:t>由于证券交易所、期货交易所、第三方估值机构、登记机构、资管计划管理人等发送数据错误等非理财产品管理人和托管人原因，或由于其它不可抗力原因</w:t>
      </w:r>
      <w:r>
        <w:rPr>
          <w:rFonts w:hint="eastAsia" w:ascii="楷体" w:hAnsi="楷体" w:eastAsia="楷体"/>
          <w:sz w:val="24"/>
          <w:szCs w:val="24"/>
        </w:rPr>
        <w:t>，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p>
    <w:p>
      <w:pPr>
        <w:numPr>
          <w:ilvl w:val="0"/>
          <w:numId w:val="1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3"/>
        </w:numPr>
        <w:tabs>
          <w:tab w:val="left" w:pos="1428"/>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理财产品的终止</w:t>
      </w:r>
    </w:p>
    <w:p>
      <w:pPr>
        <w:numPr>
          <w:ilvl w:val="0"/>
          <w:numId w:val="2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sz w:val="24"/>
          <w:szCs w:val="24"/>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3"/>
        </w:numPr>
        <w:tabs>
          <w:tab w:val="left" w:pos="728"/>
        </w:tabs>
        <w:ind w:left="0" w:firstLine="480" w:firstLineChars="200"/>
        <w:outlineLvl w:val="2"/>
        <w:rPr>
          <w:rFonts w:hint="eastAsia" w:ascii="楷体" w:hAnsi="楷体" w:eastAsia="楷体" w:cs="Calibri"/>
          <w:b w:val="0"/>
          <w:color w:val="auto"/>
          <w:sz w:val="24"/>
          <w:szCs w:val="24"/>
        </w:rPr>
      </w:pPr>
      <w:r>
        <w:rPr>
          <w:rFonts w:hint="eastAsia" w:ascii="楷体" w:hAnsi="楷体" w:eastAsia="楷体" w:cs="Calibri"/>
          <w:b w:val="0"/>
          <w:color w:val="auto"/>
          <w:sz w:val="24"/>
          <w:szCs w:val="24"/>
          <w:lang w:val="en-US" w:eastAsia="zh-CN"/>
        </w:rPr>
        <w:t>正常兑付</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★延期兑付</w:t>
      </w:r>
    </w:p>
    <w:p>
      <w:pPr>
        <w:ind w:firstLine="480" w:firstLineChars="200"/>
        <w:rPr>
          <w:rFonts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产品终止日遇非工作日则顺延至下一工作日，投资者清算资金到账日将相应调整；</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因不可抗力</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市场发生重大变化等</w:t>
      </w:r>
      <w:r>
        <w:rPr>
          <w:rFonts w:hint="eastAsia" w:ascii="楷体" w:hAnsi="楷体" w:eastAsia="楷体" w:cs="Calibri"/>
          <w:sz w:val="24"/>
          <w:szCs w:val="24"/>
        </w:rPr>
        <w:t>原因导致产品项下对应的投资标的无法及时变现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无法</w:t>
      </w:r>
      <w:r>
        <w:rPr>
          <w:rFonts w:hint="eastAsia" w:ascii="楷体" w:hAnsi="楷体" w:eastAsia="楷体" w:cs="Calibri"/>
          <w:sz w:val="24"/>
          <w:szCs w:val="24"/>
        </w:rPr>
        <w:t>及时收回资金；</w:t>
      </w:r>
    </w:p>
    <w:p>
      <w:pPr>
        <w:numPr>
          <w:ilvl w:val="0"/>
          <w:numId w:val="25"/>
        </w:numPr>
        <w:tabs>
          <w:tab w:val="left" w:pos="1092"/>
        </w:tabs>
        <w:ind w:left="0" w:firstLine="480" w:firstLineChars="200"/>
        <w:rPr>
          <w:rFonts w:ascii="楷体" w:hAnsi="楷体" w:eastAsia="楷体" w:cs="Calibri"/>
          <w:sz w:val="24"/>
          <w:szCs w:val="24"/>
        </w:rPr>
      </w:pPr>
      <w:r>
        <w:rPr>
          <w:rFonts w:hint="eastAsia" w:ascii="楷体" w:hAnsi="楷体" w:eastAsia="楷体" w:cs="Calibri"/>
          <w:color w:val="auto"/>
          <w:sz w:val="24"/>
          <w:szCs w:val="24"/>
        </w:rPr>
        <w:t>法律法规规定或监管部门认定的其他情形</w:t>
      </w:r>
      <w:r>
        <w:rPr>
          <w:rFonts w:hint="eastAsia" w:ascii="楷体" w:hAnsi="楷体" w:eastAsia="楷体" w:cs="Calibri"/>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2"/>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理财产品的清算</w:t>
      </w:r>
    </w:p>
    <w:p>
      <w:pPr>
        <w:numPr>
          <w:ilvl w:val="0"/>
          <w:numId w:val="2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投资管理费：本产品的投资管理费每日计提，按</w:t>
      </w:r>
      <w:r>
        <w:rPr>
          <w:rFonts w:hint="eastAsia" w:ascii="楷体" w:hAnsi="楷体" w:eastAsia="楷体" w:cs="Calibri"/>
          <w:sz w:val="24"/>
          <w:szCs w:val="24"/>
          <w:lang w:val="en-US" w:eastAsia="zh-CN"/>
        </w:rPr>
        <w:t>月</w:t>
      </w:r>
      <w:r>
        <w:rPr>
          <w:rFonts w:hint="eastAsia" w:ascii="楷体" w:hAnsi="楷体" w:eastAsia="楷体" w:cs="Calibri"/>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超额业绩报酬。若单一投资周期各份额实际投资收益在扣除托管费、销售服务费、投资管理费以及运作产品所必须缴纳的税费后超过各份额业绩比较基准</w:t>
      </w:r>
      <w:r>
        <w:rPr>
          <w:rFonts w:hint="eastAsia" w:ascii="楷体" w:hAnsi="楷体" w:eastAsia="楷体"/>
          <w:sz w:val="24"/>
          <w:szCs w:val="24"/>
          <w:lang w:val="en-US" w:eastAsia="zh-CN"/>
        </w:rPr>
        <w:t>上限</w:t>
      </w:r>
      <w:r>
        <w:rPr>
          <w:rFonts w:hint="eastAsia" w:ascii="楷体" w:hAnsi="楷体" w:eastAsia="楷体"/>
          <w:sz w:val="24"/>
          <w:szCs w:val="24"/>
        </w:rPr>
        <w:t>，则该投资周期终止日后管理人将按照超出部分的</w:t>
      </w:r>
      <w:r>
        <w:rPr>
          <w:rFonts w:hint="eastAsia" w:ascii="楷体" w:hAnsi="楷体" w:eastAsia="楷体"/>
          <w:sz w:val="24"/>
          <w:szCs w:val="24"/>
          <w:lang w:val="en-US" w:eastAsia="zh-CN"/>
        </w:rPr>
        <w:t>50</w:t>
      </w:r>
      <w:r>
        <w:rPr>
          <w:rFonts w:hint="eastAsia" w:ascii="楷体" w:hAnsi="楷体" w:eastAsia="楷体"/>
          <w:sz w:val="24"/>
          <w:szCs w:val="24"/>
        </w:rPr>
        <w:t>%收取超额业绩报酬。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产品管理人有权根据市场情况等调整上述各项费用费率和超额业绩报酬收取方式及比例，并至少于调整日之前2个工作日进行公告。</w:t>
      </w:r>
      <w:r>
        <w:rPr>
          <w:rFonts w:hint="eastAsia" w:ascii="楷体" w:hAnsi="楷体" w:eastAsia="楷体"/>
          <w:sz w:val="24"/>
          <w:szCs w:val="24"/>
          <w:lang w:eastAsia="zh-CN"/>
        </w:rPr>
        <w:t>产品管理人将通过短信及苏银理财有限责任公司官方网站（www.suyinwealth.com）、销售机构电子渠道和营业网点等方式进行信息披露</w:t>
      </w:r>
      <w:r>
        <w:rPr>
          <w:rFonts w:hint="eastAsia" w:ascii="楷体" w:hAnsi="楷体" w:eastAsia="楷体"/>
          <w:sz w:val="24"/>
          <w:szCs w:val="24"/>
        </w:rPr>
        <w:t>。如投资者不接受的，可在公告约定的期限内赎回本产品，此种情况下产品管理人将可能开放特殊赎回期间，具体以届时产品管理人公告为准；如投资者未赎回本产品，则视为本理财产品投资者对相关调整无异议且同意在调整后继续持有本理财产品。本产品不收取认购费用、申购费用、赎回费用。</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3"/>
        </w:numPr>
        <w:tabs>
          <w:tab w:val="left" w:pos="1414"/>
        </w:tabs>
        <w:ind w:firstLine="562" w:firstLineChars="200"/>
        <w:outlineLvl w:val="0"/>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托管人职责</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安全保管理财产品财产；</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为理财产品开立银行托管账户、证券账户等；</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监督理财产品投资运作；</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国务院银行业监督管理机构规定的其他职责。</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信息披露内容</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产品收益分配、各项费用情况；</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产品涉及关联交易；</w:t>
      </w:r>
    </w:p>
    <w:p>
      <w:pPr>
        <w:numPr>
          <w:ilvl w:val="0"/>
          <w:numId w:val="3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其他影响本产品投资运作的重大事项、临时性信息披露等。</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信息披露频率</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产品净值披露：本产品存续期内每周按说明书约定方式披露单位净值，每个开放日结束后2个工作日内通过本理财产品说明书约定方式披露上一投资周期终止日的单位净值、份额累计净值、认</w:t>
      </w:r>
      <w:r>
        <w:rPr>
          <w:rFonts w:hint="eastAsia" w:ascii="楷体" w:hAnsi="楷体" w:eastAsia="楷体" w:cs="Calibri"/>
          <w:sz w:val="24"/>
          <w:szCs w:val="24"/>
          <w:lang w:val="en-US" w:eastAsia="zh-CN"/>
        </w:rPr>
        <w:t>/申</w:t>
      </w:r>
      <w:r>
        <w:rPr>
          <w:rFonts w:hint="eastAsia" w:ascii="楷体" w:hAnsi="楷体" w:eastAsia="楷体" w:cs="Calibri"/>
          <w:sz w:val="24"/>
          <w:szCs w:val="24"/>
        </w:rPr>
        <w:t>购价格和赎回价格。</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理财账单：管理人每月向投资者提供其所持有的理财产品账单，账单内容包括但不限于投资者持有的理财产品份额、认购金额、</w:t>
      </w:r>
      <w:r>
        <w:rPr>
          <w:rFonts w:hint="eastAsia" w:ascii="楷体" w:hAnsi="楷体" w:eastAsia="楷体" w:cs="Calibri"/>
          <w:sz w:val="24"/>
          <w:szCs w:val="24"/>
          <w:lang w:val="en-US" w:eastAsia="zh-CN"/>
        </w:rPr>
        <w:t>份额单位</w:t>
      </w:r>
      <w:r>
        <w:rPr>
          <w:rFonts w:hint="eastAsia" w:ascii="楷体" w:hAnsi="楷体" w:eastAsia="楷体" w:cs="Calibri"/>
          <w:sz w:val="24"/>
          <w:szCs w:val="24"/>
        </w:rPr>
        <w:t>净值、份额累计净值、资产净值、收益情况、投资者理财交易账户发生的交易明细记录等信息。</w:t>
      </w:r>
    </w:p>
    <w:p>
      <w:pPr>
        <w:numPr>
          <w:ilvl w:val="0"/>
          <w:numId w:val="3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信息披露方式</w:t>
      </w:r>
    </w:p>
    <w:p>
      <w:pPr>
        <w:ind w:firstLine="480" w:firstLineChars="200"/>
        <w:rPr>
          <w:rFonts w:hint="eastAsia" w:ascii="楷体" w:hAnsi="楷体" w:eastAsia="楷体"/>
          <w:sz w:val="24"/>
          <w:szCs w:val="24"/>
        </w:rPr>
      </w:pPr>
      <w:r>
        <w:rPr>
          <w:rFonts w:hint="eastAsia" w:ascii="楷体" w:hAnsi="楷体" w:eastAsia="楷体"/>
          <w:sz w:val="24"/>
          <w:szCs w:val="24"/>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苏银理财通过苏银理财有限责任公司官方网站（</w:t>
      </w:r>
      <w:r>
        <w:rPr>
          <w:rFonts w:ascii="楷体" w:hAnsi="楷体" w:eastAsia="楷体" w:cs="Calibri"/>
          <w:sz w:val="24"/>
          <w:szCs w:val="24"/>
        </w:rPr>
        <w:t>www.suyinwealth.com</w:t>
      </w:r>
      <w:r>
        <w:rPr>
          <w:rFonts w:hint="eastAsia" w:ascii="楷体" w:hAnsi="楷体" w:eastAsia="楷体" w:cs="Calibri"/>
          <w:sz w:val="24"/>
          <w:szCs w:val="24"/>
        </w:rPr>
        <w:t>）进行信息披露。</w:t>
      </w:r>
    </w:p>
    <w:p>
      <w:pPr>
        <w:ind w:firstLine="480" w:firstLineChars="200"/>
        <w:rPr>
          <w:rFonts w:hint="eastAsia" w:ascii="楷体" w:hAnsi="楷体" w:eastAsia="楷体" w:cs="Calibri"/>
          <w:sz w:val="24"/>
          <w:szCs w:val="24"/>
        </w:rPr>
      </w:pPr>
      <w:r>
        <w:rPr>
          <w:rFonts w:hint="eastAsia" w:ascii="楷体" w:hAnsi="楷体" w:eastAsia="楷体" w:cs="Calibri"/>
          <w:sz w:val="24"/>
          <w:szCs w:val="24"/>
          <w:lang w:val="en-US" w:eastAsia="zh-CN"/>
        </w:rPr>
        <w:t>2.</w:t>
      </w: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w:t>
      </w:r>
      <w:r>
        <w:rPr>
          <w:rFonts w:hint="eastAsia" w:ascii="楷体" w:hAnsi="楷体" w:eastAsia="楷体"/>
          <w:sz w:val="24"/>
          <w:szCs w:val="24"/>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4"/>
          <w:szCs w:val="24"/>
        </w:rPr>
        <w:t>请</w:t>
      </w:r>
      <w:r>
        <w:rPr>
          <w:rFonts w:hint="eastAsia" w:ascii="楷体" w:hAnsi="楷体" w:eastAsia="楷体"/>
          <w:sz w:val="24"/>
          <w:szCs w:val="24"/>
          <w:lang w:val="en-US" w:eastAsia="zh-CN"/>
        </w:rPr>
        <w:t>投资者</w:t>
      </w:r>
      <w:r>
        <w:rPr>
          <w:rFonts w:hint="eastAsia" w:ascii="楷体" w:hAnsi="楷体" w:eastAsia="楷体"/>
          <w:sz w:val="24"/>
          <w:szCs w:val="24"/>
        </w:rPr>
        <w:t>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3"/>
        </w:numPr>
        <w:tabs>
          <w:tab w:val="left" w:pos="1428"/>
        </w:tabs>
        <w:ind w:firstLine="562" w:firstLineChars="200"/>
        <w:outlineLvl w:val="0"/>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rPr>
      </w:pPr>
      <w:r>
        <w:rPr>
          <w:rFonts w:hint="eastAsia" w:ascii="楷体" w:hAnsi="楷体" w:eastAsia="楷体"/>
          <w:sz w:val="24"/>
          <w:szCs w:val="24"/>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lang w:val="en-US" w:eastAsia="zh-CN"/>
        </w:rPr>
        <w:t>接触</w:t>
      </w:r>
      <w:r>
        <w:rPr>
          <w:rFonts w:hint="eastAsia" w:ascii="楷体" w:hAnsi="楷体" w:eastAsia="楷体"/>
          <w:sz w:val="24"/>
          <w:szCs w:val="24"/>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rPr>
          <w:rFonts w:hint="eastAsia" w:ascii="楷体" w:hAnsi="楷体" w:eastAsia="楷体"/>
          <w:sz w:val="24"/>
          <w:szCs w:val="24"/>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1"/>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1"/>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FC765AA"/>
    <w:multiLevelType w:val="multilevel"/>
    <w:tmpl w:val="3FC765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C82A25"/>
    <w:multiLevelType w:val="multilevel"/>
    <w:tmpl w:val="67C82A2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14"/>
  </w:num>
  <w:num w:numId="3">
    <w:abstractNumId w:val="5"/>
  </w:num>
  <w:num w:numId="4">
    <w:abstractNumId w:val="11"/>
  </w:num>
  <w:num w:numId="5">
    <w:abstractNumId w:val="26"/>
  </w:num>
  <w:num w:numId="6">
    <w:abstractNumId w:val="21"/>
  </w:num>
  <w:num w:numId="7">
    <w:abstractNumId w:val="29"/>
  </w:num>
  <w:num w:numId="8">
    <w:abstractNumId w:val="6"/>
  </w:num>
  <w:num w:numId="9">
    <w:abstractNumId w:val="13"/>
  </w:num>
  <w:num w:numId="10">
    <w:abstractNumId w:val="0"/>
  </w:num>
  <w:num w:numId="11">
    <w:abstractNumId w:val="32"/>
  </w:num>
  <w:num w:numId="12">
    <w:abstractNumId w:val="22"/>
  </w:num>
  <w:num w:numId="13">
    <w:abstractNumId w:val="16"/>
  </w:num>
  <w:num w:numId="14">
    <w:abstractNumId w:val="7"/>
  </w:num>
  <w:num w:numId="15">
    <w:abstractNumId w:val="4"/>
  </w:num>
  <w:num w:numId="16">
    <w:abstractNumId w:val="8"/>
  </w:num>
  <w:num w:numId="17">
    <w:abstractNumId w:val="27"/>
  </w:num>
  <w:num w:numId="18">
    <w:abstractNumId w:val="23"/>
  </w:num>
  <w:num w:numId="19">
    <w:abstractNumId w:val="20"/>
  </w:num>
  <w:num w:numId="20">
    <w:abstractNumId w:val="18"/>
  </w:num>
  <w:num w:numId="21">
    <w:abstractNumId w:val="3"/>
  </w:num>
  <w:num w:numId="22">
    <w:abstractNumId w:val="9"/>
  </w:num>
  <w:num w:numId="23">
    <w:abstractNumId w:val="28"/>
  </w:num>
  <w:num w:numId="24">
    <w:abstractNumId w:val="2"/>
  </w:num>
  <w:num w:numId="25">
    <w:abstractNumId w:val="30"/>
  </w:num>
  <w:num w:numId="26">
    <w:abstractNumId w:val="19"/>
  </w:num>
  <w:num w:numId="27">
    <w:abstractNumId w:val="17"/>
  </w:num>
  <w:num w:numId="28">
    <w:abstractNumId w:val="34"/>
  </w:num>
  <w:num w:numId="29">
    <w:abstractNumId w:val="25"/>
  </w:num>
  <w:num w:numId="30">
    <w:abstractNumId w:val="10"/>
  </w:num>
  <w:num w:numId="31">
    <w:abstractNumId w:val="33"/>
  </w:num>
  <w:num w:numId="32">
    <w:abstractNumId w:val="15"/>
  </w:num>
  <w:num w:numId="33">
    <w:abstractNumId w:val="31"/>
  </w:num>
  <w:num w:numId="34">
    <w:abstractNumId w:val="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AFB"/>
    <w:rsid w:val="00006EAF"/>
    <w:rsid w:val="0000713B"/>
    <w:rsid w:val="000101E4"/>
    <w:rsid w:val="00010C11"/>
    <w:rsid w:val="0001103A"/>
    <w:rsid w:val="000131EF"/>
    <w:rsid w:val="00013628"/>
    <w:rsid w:val="00014334"/>
    <w:rsid w:val="000157D4"/>
    <w:rsid w:val="000158A7"/>
    <w:rsid w:val="00015A92"/>
    <w:rsid w:val="00015D58"/>
    <w:rsid w:val="00016232"/>
    <w:rsid w:val="0002052D"/>
    <w:rsid w:val="00020A6F"/>
    <w:rsid w:val="00021007"/>
    <w:rsid w:val="000238B2"/>
    <w:rsid w:val="00023BA8"/>
    <w:rsid w:val="00023BD1"/>
    <w:rsid w:val="00023E47"/>
    <w:rsid w:val="000247F9"/>
    <w:rsid w:val="00024A4A"/>
    <w:rsid w:val="000263ED"/>
    <w:rsid w:val="00026591"/>
    <w:rsid w:val="000275AC"/>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201"/>
    <w:rsid w:val="0004768E"/>
    <w:rsid w:val="00050975"/>
    <w:rsid w:val="00051D94"/>
    <w:rsid w:val="00051DB3"/>
    <w:rsid w:val="000522EC"/>
    <w:rsid w:val="00054158"/>
    <w:rsid w:val="00054854"/>
    <w:rsid w:val="00055332"/>
    <w:rsid w:val="00055CB4"/>
    <w:rsid w:val="0005670B"/>
    <w:rsid w:val="000567FE"/>
    <w:rsid w:val="00060571"/>
    <w:rsid w:val="00061D74"/>
    <w:rsid w:val="000622F4"/>
    <w:rsid w:val="00062791"/>
    <w:rsid w:val="00063E49"/>
    <w:rsid w:val="00064F2B"/>
    <w:rsid w:val="00066944"/>
    <w:rsid w:val="00066A4B"/>
    <w:rsid w:val="00066F56"/>
    <w:rsid w:val="00066FC3"/>
    <w:rsid w:val="000677EE"/>
    <w:rsid w:val="00070C29"/>
    <w:rsid w:val="00071418"/>
    <w:rsid w:val="00071581"/>
    <w:rsid w:val="0007293A"/>
    <w:rsid w:val="00072D1F"/>
    <w:rsid w:val="00072EF5"/>
    <w:rsid w:val="000732F2"/>
    <w:rsid w:val="0007366C"/>
    <w:rsid w:val="00074189"/>
    <w:rsid w:val="00074306"/>
    <w:rsid w:val="000757BB"/>
    <w:rsid w:val="00076189"/>
    <w:rsid w:val="00077A9A"/>
    <w:rsid w:val="00077DDA"/>
    <w:rsid w:val="00080568"/>
    <w:rsid w:val="00080C2C"/>
    <w:rsid w:val="00081AD6"/>
    <w:rsid w:val="000820E2"/>
    <w:rsid w:val="00083319"/>
    <w:rsid w:val="000839AD"/>
    <w:rsid w:val="000853F6"/>
    <w:rsid w:val="00086585"/>
    <w:rsid w:val="000867A8"/>
    <w:rsid w:val="00087036"/>
    <w:rsid w:val="00087EDB"/>
    <w:rsid w:val="00091208"/>
    <w:rsid w:val="00091C44"/>
    <w:rsid w:val="00092843"/>
    <w:rsid w:val="000934F7"/>
    <w:rsid w:val="00093C11"/>
    <w:rsid w:val="000945CC"/>
    <w:rsid w:val="00094631"/>
    <w:rsid w:val="0009573A"/>
    <w:rsid w:val="000958D2"/>
    <w:rsid w:val="00096382"/>
    <w:rsid w:val="000972B0"/>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A22"/>
    <w:rsid w:val="000D1E06"/>
    <w:rsid w:val="000D35BD"/>
    <w:rsid w:val="000D5455"/>
    <w:rsid w:val="000D71CF"/>
    <w:rsid w:val="000D7225"/>
    <w:rsid w:val="000D722C"/>
    <w:rsid w:val="000D7277"/>
    <w:rsid w:val="000E0485"/>
    <w:rsid w:val="000E21D9"/>
    <w:rsid w:val="000E2E7D"/>
    <w:rsid w:val="000E34BA"/>
    <w:rsid w:val="000E34F3"/>
    <w:rsid w:val="000E3792"/>
    <w:rsid w:val="000E4205"/>
    <w:rsid w:val="000E5598"/>
    <w:rsid w:val="000E7CF6"/>
    <w:rsid w:val="000E7D1B"/>
    <w:rsid w:val="000E7DF4"/>
    <w:rsid w:val="000F0433"/>
    <w:rsid w:val="000F19D4"/>
    <w:rsid w:val="000F1D3C"/>
    <w:rsid w:val="000F2BB5"/>
    <w:rsid w:val="000F3D5D"/>
    <w:rsid w:val="000F4243"/>
    <w:rsid w:val="000F4811"/>
    <w:rsid w:val="000F4ABF"/>
    <w:rsid w:val="000F510B"/>
    <w:rsid w:val="000F5B66"/>
    <w:rsid w:val="000F5BE5"/>
    <w:rsid w:val="000F5FF6"/>
    <w:rsid w:val="000F65C5"/>
    <w:rsid w:val="000F6A6E"/>
    <w:rsid w:val="000F7056"/>
    <w:rsid w:val="000F7D2C"/>
    <w:rsid w:val="00100EB5"/>
    <w:rsid w:val="00100F0C"/>
    <w:rsid w:val="001025A3"/>
    <w:rsid w:val="00103497"/>
    <w:rsid w:val="001036A0"/>
    <w:rsid w:val="0010457E"/>
    <w:rsid w:val="00105BD7"/>
    <w:rsid w:val="001065F5"/>
    <w:rsid w:val="00110417"/>
    <w:rsid w:val="0011103A"/>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66"/>
    <w:rsid w:val="00125B8C"/>
    <w:rsid w:val="0012647A"/>
    <w:rsid w:val="00126EE1"/>
    <w:rsid w:val="00127044"/>
    <w:rsid w:val="001303B2"/>
    <w:rsid w:val="00130EED"/>
    <w:rsid w:val="00130F7B"/>
    <w:rsid w:val="00131F1B"/>
    <w:rsid w:val="0013364F"/>
    <w:rsid w:val="00133AAF"/>
    <w:rsid w:val="00133B98"/>
    <w:rsid w:val="0013472F"/>
    <w:rsid w:val="00134733"/>
    <w:rsid w:val="00134B7E"/>
    <w:rsid w:val="0013526A"/>
    <w:rsid w:val="001359ED"/>
    <w:rsid w:val="00140B25"/>
    <w:rsid w:val="0014427A"/>
    <w:rsid w:val="00144304"/>
    <w:rsid w:val="001450DF"/>
    <w:rsid w:val="001450E0"/>
    <w:rsid w:val="0014734D"/>
    <w:rsid w:val="00151CC7"/>
    <w:rsid w:val="00151ED4"/>
    <w:rsid w:val="00152B36"/>
    <w:rsid w:val="001530B2"/>
    <w:rsid w:val="001542A4"/>
    <w:rsid w:val="001543E7"/>
    <w:rsid w:val="00154F7A"/>
    <w:rsid w:val="00155B77"/>
    <w:rsid w:val="00157DE3"/>
    <w:rsid w:val="00160569"/>
    <w:rsid w:val="00160CEC"/>
    <w:rsid w:val="00161000"/>
    <w:rsid w:val="00161E2F"/>
    <w:rsid w:val="001624A3"/>
    <w:rsid w:val="001624DA"/>
    <w:rsid w:val="00162BF5"/>
    <w:rsid w:val="00165BDE"/>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84C45"/>
    <w:rsid w:val="0019333A"/>
    <w:rsid w:val="00194E69"/>
    <w:rsid w:val="00194F44"/>
    <w:rsid w:val="00195ECF"/>
    <w:rsid w:val="00197DD9"/>
    <w:rsid w:val="001A059E"/>
    <w:rsid w:val="001A05F5"/>
    <w:rsid w:val="001A1C12"/>
    <w:rsid w:val="001A2434"/>
    <w:rsid w:val="001A422B"/>
    <w:rsid w:val="001A502C"/>
    <w:rsid w:val="001A57DB"/>
    <w:rsid w:val="001A586B"/>
    <w:rsid w:val="001A72FD"/>
    <w:rsid w:val="001A73F1"/>
    <w:rsid w:val="001B1D26"/>
    <w:rsid w:val="001B1E1E"/>
    <w:rsid w:val="001B25A3"/>
    <w:rsid w:val="001B272C"/>
    <w:rsid w:val="001B2F76"/>
    <w:rsid w:val="001B2F82"/>
    <w:rsid w:val="001B396B"/>
    <w:rsid w:val="001B413E"/>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014"/>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D03"/>
    <w:rsid w:val="001E4E95"/>
    <w:rsid w:val="001E55CB"/>
    <w:rsid w:val="001E57B9"/>
    <w:rsid w:val="001E6078"/>
    <w:rsid w:val="001E631F"/>
    <w:rsid w:val="001E6A8F"/>
    <w:rsid w:val="001F0A69"/>
    <w:rsid w:val="001F170E"/>
    <w:rsid w:val="001F1728"/>
    <w:rsid w:val="001F2658"/>
    <w:rsid w:val="001F3AD6"/>
    <w:rsid w:val="001F3CCB"/>
    <w:rsid w:val="001F5292"/>
    <w:rsid w:val="001F63BD"/>
    <w:rsid w:val="001F6775"/>
    <w:rsid w:val="001F69BF"/>
    <w:rsid w:val="0020004D"/>
    <w:rsid w:val="00200449"/>
    <w:rsid w:val="00200DF8"/>
    <w:rsid w:val="0020123C"/>
    <w:rsid w:val="0020196F"/>
    <w:rsid w:val="002024E9"/>
    <w:rsid w:val="0020590E"/>
    <w:rsid w:val="0020639A"/>
    <w:rsid w:val="002078BE"/>
    <w:rsid w:val="00210857"/>
    <w:rsid w:val="002119A2"/>
    <w:rsid w:val="00213632"/>
    <w:rsid w:val="002158C4"/>
    <w:rsid w:val="00215F66"/>
    <w:rsid w:val="00220657"/>
    <w:rsid w:val="0022162D"/>
    <w:rsid w:val="002222A4"/>
    <w:rsid w:val="002239BC"/>
    <w:rsid w:val="0022633B"/>
    <w:rsid w:val="00226F9D"/>
    <w:rsid w:val="0022731F"/>
    <w:rsid w:val="002276FA"/>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189"/>
    <w:rsid w:val="00241423"/>
    <w:rsid w:val="0024212E"/>
    <w:rsid w:val="002425D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4D59"/>
    <w:rsid w:val="00255480"/>
    <w:rsid w:val="00255ECB"/>
    <w:rsid w:val="00256119"/>
    <w:rsid w:val="00256E57"/>
    <w:rsid w:val="0025744E"/>
    <w:rsid w:val="002579CC"/>
    <w:rsid w:val="00262279"/>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7E8"/>
    <w:rsid w:val="00274FAF"/>
    <w:rsid w:val="0027510A"/>
    <w:rsid w:val="002765F4"/>
    <w:rsid w:val="00276883"/>
    <w:rsid w:val="00277728"/>
    <w:rsid w:val="00277C1F"/>
    <w:rsid w:val="00277CC3"/>
    <w:rsid w:val="002817EA"/>
    <w:rsid w:val="002821D7"/>
    <w:rsid w:val="002824BB"/>
    <w:rsid w:val="00282F20"/>
    <w:rsid w:val="00283C4B"/>
    <w:rsid w:val="00285867"/>
    <w:rsid w:val="0029004F"/>
    <w:rsid w:val="00291A31"/>
    <w:rsid w:val="00291B84"/>
    <w:rsid w:val="00292B19"/>
    <w:rsid w:val="00292B5E"/>
    <w:rsid w:val="002932FC"/>
    <w:rsid w:val="00293B59"/>
    <w:rsid w:val="00294431"/>
    <w:rsid w:val="0029474A"/>
    <w:rsid w:val="00294B49"/>
    <w:rsid w:val="0029526F"/>
    <w:rsid w:val="00295538"/>
    <w:rsid w:val="00296EB4"/>
    <w:rsid w:val="00297034"/>
    <w:rsid w:val="00297598"/>
    <w:rsid w:val="002A046A"/>
    <w:rsid w:val="002A13F4"/>
    <w:rsid w:val="002A23E0"/>
    <w:rsid w:val="002A2E20"/>
    <w:rsid w:val="002A2FFA"/>
    <w:rsid w:val="002A32DF"/>
    <w:rsid w:val="002A46D7"/>
    <w:rsid w:val="002A6980"/>
    <w:rsid w:val="002A7DF5"/>
    <w:rsid w:val="002A7E94"/>
    <w:rsid w:val="002B064E"/>
    <w:rsid w:val="002B0795"/>
    <w:rsid w:val="002B0AC9"/>
    <w:rsid w:val="002B2620"/>
    <w:rsid w:val="002B3225"/>
    <w:rsid w:val="002B5694"/>
    <w:rsid w:val="002B659F"/>
    <w:rsid w:val="002B7037"/>
    <w:rsid w:val="002C021F"/>
    <w:rsid w:val="002C1C54"/>
    <w:rsid w:val="002C2056"/>
    <w:rsid w:val="002C23F7"/>
    <w:rsid w:val="002C275F"/>
    <w:rsid w:val="002C2ADA"/>
    <w:rsid w:val="002C3367"/>
    <w:rsid w:val="002C478A"/>
    <w:rsid w:val="002C50C0"/>
    <w:rsid w:val="002C513A"/>
    <w:rsid w:val="002C6302"/>
    <w:rsid w:val="002C7117"/>
    <w:rsid w:val="002C7CB4"/>
    <w:rsid w:val="002D0706"/>
    <w:rsid w:val="002D29FD"/>
    <w:rsid w:val="002D2AEC"/>
    <w:rsid w:val="002D2B97"/>
    <w:rsid w:val="002D2C1F"/>
    <w:rsid w:val="002E1382"/>
    <w:rsid w:val="002E32E2"/>
    <w:rsid w:val="002E4F2A"/>
    <w:rsid w:val="002E6AD0"/>
    <w:rsid w:val="002E6F55"/>
    <w:rsid w:val="002F04F4"/>
    <w:rsid w:val="002F0920"/>
    <w:rsid w:val="002F0E4E"/>
    <w:rsid w:val="002F344B"/>
    <w:rsid w:val="002F3FBD"/>
    <w:rsid w:val="002F606F"/>
    <w:rsid w:val="002F6956"/>
    <w:rsid w:val="002F709A"/>
    <w:rsid w:val="002F77A8"/>
    <w:rsid w:val="0030035F"/>
    <w:rsid w:val="00301619"/>
    <w:rsid w:val="00301AD3"/>
    <w:rsid w:val="00301E80"/>
    <w:rsid w:val="003025CE"/>
    <w:rsid w:val="00302755"/>
    <w:rsid w:val="00303458"/>
    <w:rsid w:val="003039FF"/>
    <w:rsid w:val="00304375"/>
    <w:rsid w:val="00304D18"/>
    <w:rsid w:val="003050A7"/>
    <w:rsid w:val="00305A15"/>
    <w:rsid w:val="00305F8C"/>
    <w:rsid w:val="00306353"/>
    <w:rsid w:val="00306D41"/>
    <w:rsid w:val="00307094"/>
    <w:rsid w:val="00307342"/>
    <w:rsid w:val="00310A72"/>
    <w:rsid w:val="00311C18"/>
    <w:rsid w:val="0031298C"/>
    <w:rsid w:val="00313619"/>
    <w:rsid w:val="00313D52"/>
    <w:rsid w:val="00313E33"/>
    <w:rsid w:val="00314235"/>
    <w:rsid w:val="00314E35"/>
    <w:rsid w:val="00320186"/>
    <w:rsid w:val="003206F0"/>
    <w:rsid w:val="00321DFA"/>
    <w:rsid w:val="003222FC"/>
    <w:rsid w:val="00324EC0"/>
    <w:rsid w:val="00325665"/>
    <w:rsid w:val="00325D85"/>
    <w:rsid w:val="0032607C"/>
    <w:rsid w:val="00326E7B"/>
    <w:rsid w:val="003305DB"/>
    <w:rsid w:val="0033166C"/>
    <w:rsid w:val="0033271D"/>
    <w:rsid w:val="0033358A"/>
    <w:rsid w:val="00333937"/>
    <w:rsid w:val="003342B8"/>
    <w:rsid w:val="0033504B"/>
    <w:rsid w:val="003362C7"/>
    <w:rsid w:val="00336A5A"/>
    <w:rsid w:val="00337043"/>
    <w:rsid w:val="00337AA0"/>
    <w:rsid w:val="00341B50"/>
    <w:rsid w:val="00342745"/>
    <w:rsid w:val="00342ADB"/>
    <w:rsid w:val="00343AA6"/>
    <w:rsid w:val="00343B0F"/>
    <w:rsid w:val="00344A27"/>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73E"/>
    <w:rsid w:val="003749F9"/>
    <w:rsid w:val="00375BEB"/>
    <w:rsid w:val="00375BF0"/>
    <w:rsid w:val="00376D78"/>
    <w:rsid w:val="0037725D"/>
    <w:rsid w:val="00377A25"/>
    <w:rsid w:val="00377B13"/>
    <w:rsid w:val="003800B4"/>
    <w:rsid w:val="003809E0"/>
    <w:rsid w:val="003814E2"/>
    <w:rsid w:val="00381E88"/>
    <w:rsid w:val="003821F9"/>
    <w:rsid w:val="00382548"/>
    <w:rsid w:val="003827CD"/>
    <w:rsid w:val="00382CF6"/>
    <w:rsid w:val="00383A99"/>
    <w:rsid w:val="00383D6D"/>
    <w:rsid w:val="00384713"/>
    <w:rsid w:val="00384D2B"/>
    <w:rsid w:val="003852EF"/>
    <w:rsid w:val="003870EE"/>
    <w:rsid w:val="00387750"/>
    <w:rsid w:val="00387A01"/>
    <w:rsid w:val="00387FA9"/>
    <w:rsid w:val="0039016C"/>
    <w:rsid w:val="003904B4"/>
    <w:rsid w:val="00393452"/>
    <w:rsid w:val="00394AD3"/>
    <w:rsid w:val="00394C2C"/>
    <w:rsid w:val="00395441"/>
    <w:rsid w:val="003964A0"/>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CA2"/>
    <w:rsid w:val="003B5DFB"/>
    <w:rsid w:val="003B6220"/>
    <w:rsid w:val="003B636C"/>
    <w:rsid w:val="003B64ED"/>
    <w:rsid w:val="003B6F1F"/>
    <w:rsid w:val="003B76DC"/>
    <w:rsid w:val="003C09CF"/>
    <w:rsid w:val="003C1725"/>
    <w:rsid w:val="003C1E93"/>
    <w:rsid w:val="003C2161"/>
    <w:rsid w:val="003C3FAC"/>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4F77"/>
    <w:rsid w:val="003E52BE"/>
    <w:rsid w:val="003E6D92"/>
    <w:rsid w:val="003E6F85"/>
    <w:rsid w:val="003E70B9"/>
    <w:rsid w:val="003E7812"/>
    <w:rsid w:val="003F182B"/>
    <w:rsid w:val="003F1FE7"/>
    <w:rsid w:val="003F2136"/>
    <w:rsid w:val="003F277A"/>
    <w:rsid w:val="003F3190"/>
    <w:rsid w:val="003F31E6"/>
    <w:rsid w:val="003F40F9"/>
    <w:rsid w:val="003F4C40"/>
    <w:rsid w:val="003F52FE"/>
    <w:rsid w:val="003F580D"/>
    <w:rsid w:val="003F61D7"/>
    <w:rsid w:val="00401F3A"/>
    <w:rsid w:val="0040272E"/>
    <w:rsid w:val="00402A2A"/>
    <w:rsid w:val="00402EA0"/>
    <w:rsid w:val="00403387"/>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686"/>
    <w:rsid w:val="00422B8E"/>
    <w:rsid w:val="004233D8"/>
    <w:rsid w:val="0042438A"/>
    <w:rsid w:val="00426041"/>
    <w:rsid w:val="0042620B"/>
    <w:rsid w:val="00426CBC"/>
    <w:rsid w:val="00426FE6"/>
    <w:rsid w:val="00427756"/>
    <w:rsid w:val="00427CC0"/>
    <w:rsid w:val="0043002F"/>
    <w:rsid w:val="004302AA"/>
    <w:rsid w:val="004303B3"/>
    <w:rsid w:val="00430927"/>
    <w:rsid w:val="0043134E"/>
    <w:rsid w:val="0043162A"/>
    <w:rsid w:val="00432AFE"/>
    <w:rsid w:val="0043308A"/>
    <w:rsid w:val="00433113"/>
    <w:rsid w:val="004340D6"/>
    <w:rsid w:val="00434262"/>
    <w:rsid w:val="00436062"/>
    <w:rsid w:val="0043673C"/>
    <w:rsid w:val="00436801"/>
    <w:rsid w:val="00437DA0"/>
    <w:rsid w:val="00440ACF"/>
    <w:rsid w:val="004412CE"/>
    <w:rsid w:val="00441877"/>
    <w:rsid w:val="00442603"/>
    <w:rsid w:val="00442B95"/>
    <w:rsid w:val="00444898"/>
    <w:rsid w:val="004457E4"/>
    <w:rsid w:val="00445E88"/>
    <w:rsid w:val="004469BC"/>
    <w:rsid w:val="0044781C"/>
    <w:rsid w:val="004509F6"/>
    <w:rsid w:val="00453254"/>
    <w:rsid w:val="004532CC"/>
    <w:rsid w:val="0045366F"/>
    <w:rsid w:val="00453749"/>
    <w:rsid w:val="004539F0"/>
    <w:rsid w:val="00453F4D"/>
    <w:rsid w:val="00455D49"/>
    <w:rsid w:val="00455DF1"/>
    <w:rsid w:val="00456A0F"/>
    <w:rsid w:val="0046092C"/>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1C45"/>
    <w:rsid w:val="00472203"/>
    <w:rsid w:val="004722FE"/>
    <w:rsid w:val="00472A2C"/>
    <w:rsid w:val="004739B2"/>
    <w:rsid w:val="00473DED"/>
    <w:rsid w:val="00473ED0"/>
    <w:rsid w:val="00474070"/>
    <w:rsid w:val="00474ADA"/>
    <w:rsid w:val="004761F8"/>
    <w:rsid w:val="0047624F"/>
    <w:rsid w:val="00476551"/>
    <w:rsid w:val="00476764"/>
    <w:rsid w:val="00477506"/>
    <w:rsid w:val="00477994"/>
    <w:rsid w:val="00480ED0"/>
    <w:rsid w:val="004815FB"/>
    <w:rsid w:val="00481CB0"/>
    <w:rsid w:val="00482251"/>
    <w:rsid w:val="00482CC2"/>
    <w:rsid w:val="004835E4"/>
    <w:rsid w:val="004838F5"/>
    <w:rsid w:val="00483A00"/>
    <w:rsid w:val="00483D82"/>
    <w:rsid w:val="00484CF0"/>
    <w:rsid w:val="0048562B"/>
    <w:rsid w:val="004856F7"/>
    <w:rsid w:val="00485E98"/>
    <w:rsid w:val="00485EE5"/>
    <w:rsid w:val="00487169"/>
    <w:rsid w:val="00490539"/>
    <w:rsid w:val="00490732"/>
    <w:rsid w:val="004907EE"/>
    <w:rsid w:val="00490BAF"/>
    <w:rsid w:val="00490BBC"/>
    <w:rsid w:val="004910C2"/>
    <w:rsid w:val="00491342"/>
    <w:rsid w:val="00491B25"/>
    <w:rsid w:val="004923DC"/>
    <w:rsid w:val="004925DF"/>
    <w:rsid w:val="0049285A"/>
    <w:rsid w:val="004929D1"/>
    <w:rsid w:val="004939CA"/>
    <w:rsid w:val="004945C5"/>
    <w:rsid w:val="0049607E"/>
    <w:rsid w:val="00497D5C"/>
    <w:rsid w:val="004A114E"/>
    <w:rsid w:val="004A1D81"/>
    <w:rsid w:val="004A237A"/>
    <w:rsid w:val="004A243A"/>
    <w:rsid w:val="004A2756"/>
    <w:rsid w:val="004A49CD"/>
    <w:rsid w:val="004A4AED"/>
    <w:rsid w:val="004A58D1"/>
    <w:rsid w:val="004A5CB2"/>
    <w:rsid w:val="004A5E88"/>
    <w:rsid w:val="004A65C0"/>
    <w:rsid w:val="004A6C11"/>
    <w:rsid w:val="004B1E66"/>
    <w:rsid w:val="004B35AE"/>
    <w:rsid w:val="004B3D0B"/>
    <w:rsid w:val="004B4001"/>
    <w:rsid w:val="004B44B5"/>
    <w:rsid w:val="004B48C5"/>
    <w:rsid w:val="004B4B39"/>
    <w:rsid w:val="004B6EA9"/>
    <w:rsid w:val="004B735F"/>
    <w:rsid w:val="004B77FF"/>
    <w:rsid w:val="004C03A8"/>
    <w:rsid w:val="004C0BA0"/>
    <w:rsid w:val="004C0F0C"/>
    <w:rsid w:val="004C18BE"/>
    <w:rsid w:val="004C1C90"/>
    <w:rsid w:val="004C49FA"/>
    <w:rsid w:val="004C4C9B"/>
    <w:rsid w:val="004C4EA4"/>
    <w:rsid w:val="004C7C47"/>
    <w:rsid w:val="004D0388"/>
    <w:rsid w:val="004D0478"/>
    <w:rsid w:val="004D0A93"/>
    <w:rsid w:val="004D20F5"/>
    <w:rsid w:val="004D2AAB"/>
    <w:rsid w:val="004D34C0"/>
    <w:rsid w:val="004D34DD"/>
    <w:rsid w:val="004D382B"/>
    <w:rsid w:val="004D3B10"/>
    <w:rsid w:val="004D40AF"/>
    <w:rsid w:val="004D49D8"/>
    <w:rsid w:val="004D5256"/>
    <w:rsid w:val="004D6E8F"/>
    <w:rsid w:val="004D73A7"/>
    <w:rsid w:val="004D7BA3"/>
    <w:rsid w:val="004E1BE8"/>
    <w:rsid w:val="004E3B6D"/>
    <w:rsid w:val="004E3C6A"/>
    <w:rsid w:val="004E46B0"/>
    <w:rsid w:val="004E5024"/>
    <w:rsid w:val="004E5512"/>
    <w:rsid w:val="004E645B"/>
    <w:rsid w:val="004E71DE"/>
    <w:rsid w:val="004F1A36"/>
    <w:rsid w:val="004F3AC9"/>
    <w:rsid w:val="004F3E60"/>
    <w:rsid w:val="004F46F0"/>
    <w:rsid w:val="004F4F78"/>
    <w:rsid w:val="004F55EC"/>
    <w:rsid w:val="004F5841"/>
    <w:rsid w:val="005013A2"/>
    <w:rsid w:val="005019F1"/>
    <w:rsid w:val="0050209F"/>
    <w:rsid w:val="00502451"/>
    <w:rsid w:val="00502ABF"/>
    <w:rsid w:val="00502B15"/>
    <w:rsid w:val="0050386F"/>
    <w:rsid w:val="00503B71"/>
    <w:rsid w:val="00503D3F"/>
    <w:rsid w:val="005041D5"/>
    <w:rsid w:val="005071D2"/>
    <w:rsid w:val="00510526"/>
    <w:rsid w:val="00510823"/>
    <w:rsid w:val="00511063"/>
    <w:rsid w:val="005113A6"/>
    <w:rsid w:val="0051208D"/>
    <w:rsid w:val="00512AC8"/>
    <w:rsid w:val="00514D9A"/>
    <w:rsid w:val="00515789"/>
    <w:rsid w:val="00516DA1"/>
    <w:rsid w:val="005173BF"/>
    <w:rsid w:val="005201F1"/>
    <w:rsid w:val="00520ACC"/>
    <w:rsid w:val="00520B0B"/>
    <w:rsid w:val="005212D4"/>
    <w:rsid w:val="00522AA1"/>
    <w:rsid w:val="005230EF"/>
    <w:rsid w:val="0052415B"/>
    <w:rsid w:val="0052533C"/>
    <w:rsid w:val="00525CA0"/>
    <w:rsid w:val="00526313"/>
    <w:rsid w:val="005266CB"/>
    <w:rsid w:val="00526EBD"/>
    <w:rsid w:val="00527941"/>
    <w:rsid w:val="00527FBD"/>
    <w:rsid w:val="0053052D"/>
    <w:rsid w:val="0053069A"/>
    <w:rsid w:val="005308B0"/>
    <w:rsid w:val="005309DB"/>
    <w:rsid w:val="00530E1F"/>
    <w:rsid w:val="00533FCE"/>
    <w:rsid w:val="0053444E"/>
    <w:rsid w:val="005350FA"/>
    <w:rsid w:val="0053510C"/>
    <w:rsid w:val="005352C6"/>
    <w:rsid w:val="00535C8A"/>
    <w:rsid w:val="00535CD5"/>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3857"/>
    <w:rsid w:val="00554430"/>
    <w:rsid w:val="00555DCF"/>
    <w:rsid w:val="00555F85"/>
    <w:rsid w:val="00560551"/>
    <w:rsid w:val="00560B05"/>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06F8"/>
    <w:rsid w:val="00583A5E"/>
    <w:rsid w:val="005856D2"/>
    <w:rsid w:val="005864BB"/>
    <w:rsid w:val="005909A0"/>
    <w:rsid w:val="00590CD8"/>
    <w:rsid w:val="00591904"/>
    <w:rsid w:val="00593310"/>
    <w:rsid w:val="005939E4"/>
    <w:rsid w:val="0059593D"/>
    <w:rsid w:val="00595C4D"/>
    <w:rsid w:val="005960D5"/>
    <w:rsid w:val="00597142"/>
    <w:rsid w:val="00597498"/>
    <w:rsid w:val="0059767A"/>
    <w:rsid w:val="00597B28"/>
    <w:rsid w:val="005A0462"/>
    <w:rsid w:val="005A43FC"/>
    <w:rsid w:val="005A4F64"/>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6152"/>
    <w:rsid w:val="005C72E9"/>
    <w:rsid w:val="005C79F4"/>
    <w:rsid w:val="005D163E"/>
    <w:rsid w:val="005D2986"/>
    <w:rsid w:val="005D2D0B"/>
    <w:rsid w:val="005D33A6"/>
    <w:rsid w:val="005D3D8D"/>
    <w:rsid w:val="005D4199"/>
    <w:rsid w:val="005D4B30"/>
    <w:rsid w:val="005D4D03"/>
    <w:rsid w:val="005D5292"/>
    <w:rsid w:val="005D5470"/>
    <w:rsid w:val="005D637B"/>
    <w:rsid w:val="005D6C4A"/>
    <w:rsid w:val="005D6FD2"/>
    <w:rsid w:val="005E0829"/>
    <w:rsid w:val="005E0C6F"/>
    <w:rsid w:val="005E14F6"/>
    <w:rsid w:val="005E162C"/>
    <w:rsid w:val="005E26A1"/>
    <w:rsid w:val="005E2D33"/>
    <w:rsid w:val="005E34BF"/>
    <w:rsid w:val="005E46AD"/>
    <w:rsid w:val="005E494F"/>
    <w:rsid w:val="005E5312"/>
    <w:rsid w:val="005E588E"/>
    <w:rsid w:val="005E5F0F"/>
    <w:rsid w:val="005E695B"/>
    <w:rsid w:val="005E73CE"/>
    <w:rsid w:val="005E7E5C"/>
    <w:rsid w:val="005F0711"/>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A9B"/>
    <w:rsid w:val="00627B69"/>
    <w:rsid w:val="00631631"/>
    <w:rsid w:val="00633754"/>
    <w:rsid w:val="00633D08"/>
    <w:rsid w:val="00635E85"/>
    <w:rsid w:val="00636D8C"/>
    <w:rsid w:val="006371FF"/>
    <w:rsid w:val="00643DD9"/>
    <w:rsid w:val="006444CA"/>
    <w:rsid w:val="0064466B"/>
    <w:rsid w:val="00644A75"/>
    <w:rsid w:val="00645B41"/>
    <w:rsid w:val="00646CF1"/>
    <w:rsid w:val="006472A0"/>
    <w:rsid w:val="00650768"/>
    <w:rsid w:val="00651512"/>
    <w:rsid w:val="00653665"/>
    <w:rsid w:val="00653E27"/>
    <w:rsid w:val="00653F0A"/>
    <w:rsid w:val="00654956"/>
    <w:rsid w:val="00654DE7"/>
    <w:rsid w:val="0065533C"/>
    <w:rsid w:val="00656A9D"/>
    <w:rsid w:val="00656F5E"/>
    <w:rsid w:val="00657991"/>
    <w:rsid w:val="00660D19"/>
    <w:rsid w:val="0066229E"/>
    <w:rsid w:val="00662CBC"/>
    <w:rsid w:val="00663A09"/>
    <w:rsid w:val="006673C9"/>
    <w:rsid w:val="0067038D"/>
    <w:rsid w:val="00671A6A"/>
    <w:rsid w:val="006729D2"/>
    <w:rsid w:val="00673ABF"/>
    <w:rsid w:val="00673F0C"/>
    <w:rsid w:val="00674B4E"/>
    <w:rsid w:val="00675531"/>
    <w:rsid w:val="00676223"/>
    <w:rsid w:val="006764FB"/>
    <w:rsid w:val="00676A38"/>
    <w:rsid w:val="0067775E"/>
    <w:rsid w:val="00680098"/>
    <w:rsid w:val="00680957"/>
    <w:rsid w:val="00682081"/>
    <w:rsid w:val="00682CFC"/>
    <w:rsid w:val="00683B13"/>
    <w:rsid w:val="00684C2D"/>
    <w:rsid w:val="00686325"/>
    <w:rsid w:val="00686EC4"/>
    <w:rsid w:val="00687063"/>
    <w:rsid w:val="0069086C"/>
    <w:rsid w:val="00691425"/>
    <w:rsid w:val="00695591"/>
    <w:rsid w:val="00695AF8"/>
    <w:rsid w:val="00695E17"/>
    <w:rsid w:val="00696763"/>
    <w:rsid w:val="00696C78"/>
    <w:rsid w:val="00696CDA"/>
    <w:rsid w:val="0069734A"/>
    <w:rsid w:val="00697B2E"/>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07FE"/>
    <w:rsid w:val="006C42CE"/>
    <w:rsid w:val="006C4A33"/>
    <w:rsid w:val="006C5486"/>
    <w:rsid w:val="006C592D"/>
    <w:rsid w:val="006C5D93"/>
    <w:rsid w:val="006C74B3"/>
    <w:rsid w:val="006C7EF9"/>
    <w:rsid w:val="006D0796"/>
    <w:rsid w:val="006D17F4"/>
    <w:rsid w:val="006D209C"/>
    <w:rsid w:val="006D34E4"/>
    <w:rsid w:val="006D3791"/>
    <w:rsid w:val="006D39EB"/>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6F659B"/>
    <w:rsid w:val="00700449"/>
    <w:rsid w:val="00700A73"/>
    <w:rsid w:val="007015E9"/>
    <w:rsid w:val="00701DF9"/>
    <w:rsid w:val="0070238A"/>
    <w:rsid w:val="00702886"/>
    <w:rsid w:val="00702A10"/>
    <w:rsid w:val="0070394A"/>
    <w:rsid w:val="007040A1"/>
    <w:rsid w:val="0070484E"/>
    <w:rsid w:val="007049E5"/>
    <w:rsid w:val="00704ED8"/>
    <w:rsid w:val="007054F6"/>
    <w:rsid w:val="00705AE8"/>
    <w:rsid w:val="0070601C"/>
    <w:rsid w:val="0070630B"/>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277B"/>
    <w:rsid w:val="00723E51"/>
    <w:rsid w:val="00725CF6"/>
    <w:rsid w:val="00725F23"/>
    <w:rsid w:val="007267EB"/>
    <w:rsid w:val="0072737A"/>
    <w:rsid w:val="00730159"/>
    <w:rsid w:val="00730C0D"/>
    <w:rsid w:val="0073129C"/>
    <w:rsid w:val="00731C60"/>
    <w:rsid w:val="00731D68"/>
    <w:rsid w:val="007339DB"/>
    <w:rsid w:val="007340ED"/>
    <w:rsid w:val="007356FC"/>
    <w:rsid w:val="00735A44"/>
    <w:rsid w:val="00735CE3"/>
    <w:rsid w:val="00736DD5"/>
    <w:rsid w:val="00737253"/>
    <w:rsid w:val="007372BE"/>
    <w:rsid w:val="0073765E"/>
    <w:rsid w:val="007407D3"/>
    <w:rsid w:val="0074101E"/>
    <w:rsid w:val="0074150A"/>
    <w:rsid w:val="00741FEC"/>
    <w:rsid w:val="007433D3"/>
    <w:rsid w:val="00743939"/>
    <w:rsid w:val="00743A86"/>
    <w:rsid w:val="00743F1B"/>
    <w:rsid w:val="0074430F"/>
    <w:rsid w:val="007448B9"/>
    <w:rsid w:val="007461C3"/>
    <w:rsid w:val="007468E9"/>
    <w:rsid w:val="00746BED"/>
    <w:rsid w:val="00746E9B"/>
    <w:rsid w:val="00747D71"/>
    <w:rsid w:val="00750288"/>
    <w:rsid w:val="00751BF1"/>
    <w:rsid w:val="00752F14"/>
    <w:rsid w:val="007537F1"/>
    <w:rsid w:val="00755C58"/>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776"/>
    <w:rsid w:val="00767809"/>
    <w:rsid w:val="007714AE"/>
    <w:rsid w:val="00773845"/>
    <w:rsid w:val="0077605D"/>
    <w:rsid w:val="00776AC8"/>
    <w:rsid w:val="0077746C"/>
    <w:rsid w:val="007806D6"/>
    <w:rsid w:val="00780896"/>
    <w:rsid w:val="00780E48"/>
    <w:rsid w:val="00780FF2"/>
    <w:rsid w:val="007815A1"/>
    <w:rsid w:val="00783BF6"/>
    <w:rsid w:val="00783F46"/>
    <w:rsid w:val="007845D3"/>
    <w:rsid w:val="0078501F"/>
    <w:rsid w:val="00785229"/>
    <w:rsid w:val="007905BD"/>
    <w:rsid w:val="0079186B"/>
    <w:rsid w:val="007919EE"/>
    <w:rsid w:val="00793312"/>
    <w:rsid w:val="0079391A"/>
    <w:rsid w:val="00794B5C"/>
    <w:rsid w:val="00796A9E"/>
    <w:rsid w:val="00796D05"/>
    <w:rsid w:val="007970C0"/>
    <w:rsid w:val="00797687"/>
    <w:rsid w:val="007A0BE3"/>
    <w:rsid w:val="007A1ABD"/>
    <w:rsid w:val="007A25AF"/>
    <w:rsid w:val="007A302A"/>
    <w:rsid w:val="007A30A5"/>
    <w:rsid w:val="007A3335"/>
    <w:rsid w:val="007A3DCF"/>
    <w:rsid w:val="007A462C"/>
    <w:rsid w:val="007A4C40"/>
    <w:rsid w:val="007A53B6"/>
    <w:rsid w:val="007A5FB9"/>
    <w:rsid w:val="007A664A"/>
    <w:rsid w:val="007A70C6"/>
    <w:rsid w:val="007B0CF1"/>
    <w:rsid w:val="007B11B5"/>
    <w:rsid w:val="007B11D0"/>
    <w:rsid w:val="007B1CB5"/>
    <w:rsid w:val="007B27E9"/>
    <w:rsid w:val="007B2987"/>
    <w:rsid w:val="007B40EF"/>
    <w:rsid w:val="007B5FDA"/>
    <w:rsid w:val="007B6132"/>
    <w:rsid w:val="007B6A8F"/>
    <w:rsid w:val="007B6E43"/>
    <w:rsid w:val="007B70D3"/>
    <w:rsid w:val="007B7835"/>
    <w:rsid w:val="007C0C5F"/>
    <w:rsid w:val="007C1116"/>
    <w:rsid w:val="007C3596"/>
    <w:rsid w:val="007C3AA6"/>
    <w:rsid w:val="007C495E"/>
    <w:rsid w:val="007C4B93"/>
    <w:rsid w:val="007C4C25"/>
    <w:rsid w:val="007C4EF2"/>
    <w:rsid w:val="007C55D4"/>
    <w:rsid w:val="007C708E"/>
    <w:rsid w:val="007C76DD"/>
    <w:rsid w:val="007D093F"/>
    <w:rsid w:val="007D0BE8"/>
    <w:rsid w:val="007D0D6D"/>
    <w:rsid w:val="007D2DCB"/>
    <w:rsid w:val="007D36CA"/>
    <w:rsid w:val="007D4C02"/>
    <w:rsid w:val="007D510B"/>
    <w:rsid w:val="007D5920"/>
    <w:rsid w:val="007D6496"/>
    <w:rsid w:val="007D6731"/>
    <w:rsid w:val="007D6837"/>
    <w:rsid w:val="007D7001"/>
    <w:rsid w:val="007D782F"/>
    <w:rsid w:val="007D79B4"/>
    <w:rsid w:val="007D7E87"/>
    <w:rsid w:val="007E0FEC"/>
    <w:rsid w:val="007E1666"/>
    <w:rsid w:val="007E1DC4"/>
    <w:rsid w:val="007E1ECC"/>
    <w:rsid w:val="007E29A8"/>
    <w:rsid w:val="007E2A09"/>
    <w:rsid w:val="007E2A1D"/>
    <w:rsid w:val="007E3676"/>
    <w:rsid w:val="007E40DD"/>
    <w:rsid w:val="007E4D5F"/>
    <w:rsid w:val="007E5A59"/>
    <w:rsid w:val="007E6702"/>
    <w:rsid w:val="007E7C73"/>
    <w:rsid w:val="007F0225"/>
    <w:rsid w:val="007F0AC8"/>
    <w:rsid w:val="007F10CE"/>
    <w:rsid w:val="007F167C"/>
    <w:rsid w:val="007F2054"/>
    <w:rsid w:val="007F2066"/>
    <w:rsid w:val="007F2B93"/>
    <w:rsid w:val="007F4005"/>
    <w:rsid w:val="007F44BC"/>
    <w:rsid w:val="007F64E9"/>
    <w:rsid w:val="007F7EFE"/>
    <w:rsid w:val="007F7F51"/>
    <w:rsid w:val="008004E5"/>
    <w:rsid w:val="00800B11"/>
    <w:rsid w:val="0080100B"/>
    <w:rsid w:val="00801BBC"/>
    <w:rsid w:val="00801E06"/>
    <w:rsid w:val="00802558"/>
    <w:rsid w:val="00802684"/>
    <w:rsid w:val="008032B2"/>
    <w:rsid w:val="00804380"/>
    <w:rsid w:val="00804490"/>
    <w:rsid w:val="00805F5F"/>
    <w:rsid w:val="00806016"/>
    <w:rsid w:val="00806655"/>
    <w:rsid w:val="00806B2A"/>
    <w:rsid w:val="008071EA"/>
    <w:rsid w:val="00810DA4"/>
    <w:rsid w:val="00813597"/>
    <w:rsid w:val="0081432B"/>
    <w:rsid w:val="008146A2"/>
    <w:rsid w:val="00814A29"/>
    <w:rsid w:val="00816975"/>
    <w:rsid w:val="008252B0"/>
    <w:rsid w:val="008259B8"/>
    <w:rsid w:val="00825ADA"/>
    <w:rsid w:val="00825DEA"/>
    <w:rsid w:val="0082667C"/>
    <w:rsid w:val="008269BB"/>
    <w:rsid w:val="00826C36"/>
    <w:rsid w:val="00827362"/>
    <w:rsid w:val="008279A8"/>
    <w:rsid w:val="00827E59"/>
    <w:rsid w:val="00830FC0"/>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4FB1"/>
    <w:rsid w:val="00847A9C"/>
    <w:rsid w:val="00850D95"/>
    <w:rsid w:val="00852DCB"/>
    <w:rsid w:val="00854477"/>
    <w:rsid w:val="00855674"/>
    <w:rsid w:val="00855ED4"/>
    <w:rsid w:val="00856A85"/>
    <w:rsid w:val="00861F9F"/>
    <w:rsid w:val="0086291A"/>
    <w:rsid w:val="00862D4F"/>
    <w:rsid w:val="00863036"/>
    <w:rsid w:val="008642AC"/>
    <w:rsid w:val="00865150"/>
    <w:rsid w:val="008657B6"/>
    <w:rsid w:val="008657C0"/>
    <w:rsid w:val="00870406"/>
    <w:rsid w:val="0087108B"/>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5AF7"/>
    <w:rsid w:val="00885EAF"/>
    <w:rsid w:val="008862BD"/>
    <w:rsid w:val="008863E8"/>
    <w:rsid w:val="00887A74"/>
    <w:rsid w:val="008917E7"/>
    <w:rsid w:val="00891802"/>
    <w:rsid w:val="00892AA0"/>
    <w:rsid w:val="0089626D"/>
    <w:rsid w:val="008962E9"/>
    <w:rsid w:val="0089653C"/>
    <w:rsid w:val="00896CA9"/>
    <w:rsid w:val="00896DD8"/>
    <w:rsid w:val="008A0DE6"/>
    <w:rsid w:val="008A16A9"/>
    <w:rsid w:val="008A1FF5"/>
    <w:rsid w:val="008A233D"/>
    <w:rsid w:val="008A237E"/>
    <w:rsid w:val="008A2CFF"/>
    <w:rsid w:val="008A3BD1"/>
    <w:rsid w:val="008A447D"/>
    <w:rsid w:val="008A4AF5"/>
    <w:rsid w:val="008A4EFA"/>
    <w:rsid w:val="008A62A5"/>
    <w:rsid w:val="008A7E2E"/>
    <w:rsid w:val="008B04D8"/>
    <w:rsid w:val="008B266F"/>
    <w:rsid w:val="008B3124"/>
    <w:rsid w:val="008B5749"/>
    <w:rsid w:val="008B6744"/>
    <w:rsid w:val="008B72A5"/>
    <w:rsid w:val="008B7762"/>
    <w:rsid w:val="008B7E82"/>
    <w:rsid w:val="008C0421"/>
    <w:rsid w:val="008C1918"/>
    <w:rsid w:val="008C1A51"/>
    <w:rsid w:val="008C283D"/>
    <w:rsid w:val="008C2A4A"/>
    <w:rsid w:val="008C2F29"/>
    <w:rsid w:val="008C3202"/>
    <w:rsid w:val="008C4AD0"/>
    <w:rsid w:val="008C6B30"/>
    <w:rsid w:val="008D3033"/>
    <w:rsid w:val="008D4091"/>
    <w:rsid w:val="008D493B"/>
    <w:rsid w:val="008D4A7C"/>
    <w:rsid w:val="008D51DA"/>
    <w:rsid w:val="008D53A9"/>
    <w:rsid w:val="008D5615"/>
    <w:rsid w:val="008D59CC"/>
    <w:rsid w:val="008D5C71"/>
    <w:rsid w:val="008D5F0D"/>
    <w:rsid w:val="008D683A"/>
    <w:rsid w:val="008E0359"/>
    <w:rsid w:val="008E05D2"/>
    <w:rsid w:val="008E0805"/>
    <w:rsid w:val="008E08ED"/>
    <w:rsid w:val="008E0FFB"/>
    <w:rsid w:val="008E25B1"/>
    <w:rsid w:val="008E2B4D"/>
    <w:rsid w:val="008E3094"/>
    <w:rsid w:val="008E3295"/>
    <w:rsid w:val="008E4A5F"/>
    <w:rsid w:val="008E536D"/>
    <w:rsid w:val="008E55EA"/>
    <w:rsid w:val="008E5926"/>
    <w:rsid w:val="008E5AAE"/>
    <w:rsid w:val="008E637E"/>
    <w:rsid w:val="008E6C15"/>
    <w:rsid w:val="008E75C5"/>
    <w:rsid w:val="008E7887"/>
    <w:rsid w:val="008E7922"/>
    <w:rsid w:val="008E7E6E"/>
    <w:rsid w:val="008F007E"/>
    <w:rsid w:val="008F0671"/>
    <w:rsid w:val="008F08D7"/>
    <w:rsid w:val="008F1194"/>
    <w:rsid w:val="008F1884"/>
    <w:rsid w:val="008F206D"/>
    <w:rsid w:val="008F237A"/>
    <w:rsid w:val="008F2796"/>
    <w:rsid w:val="008F34D3"/>
    <w:rsid w:val="008F3BD8"/>
    <w:rsid w:val="008F603A"/>
    <w:rsid w:val="008F6A2F"/>
    <w:rsid w:val="008F6B5E"/>
    <w:rsid w:val="008F6FA1"/>
    <w:rsid w:val="008F755E"/>
    <w:rsid w:val="008F79D0"/>
    <w:rsid w:val="009008B1"/>
    <w:rsid w:val="00901F58"/>
    <w:rsid w:val="00902015"/>
    <w:rsid w:val="00903531"/>
    <w:rsid w:val="00904A65"/>
    <w:rsid w:val="00904DC3"/>
    <w:rsid w:val="00904E2E"/>
    <w:rsid w:val="00905728"/>
    <w:rsid w:val="00905793"/>
    <w:rsid w:val="00907263"/>
    <w:rsid w:val="0090729C"/>
    <w:rsid w:val="00907E8B"/>
    <w:rsid w:val="009123F6"/>
    <w:rsid w:val="00913E2A"/>
    <w:rsid w:val="0091468D"/>
    <w:rsid w:val="0091475E"/>
    <w:rsid w:val="009163B6"/>
    <w:rsid w:val="00916B61"/>
    <w:rsid w:val="00916DC0"/>
    <w:rsid w:val="00917091"/>
    <w:rsid w:val="0091716A"/>
    <w:rsid w:val="00917D6C"/>
    <w:rsid w:val="00917ED2"/>
    <w:rsid w:val="00917F42"/>
    <w:rsid w:val="009202F4"/>
    <w:rsid w:val="009205E3"/>
    <w:rsid w:val="009217A9"/>
    <w:rsid w:val="00922F29"/>
    <w:rsid w:val="009231E6"/>
    <w:rsid w:val="00924303"/>
    <w:rsid w:val="00924926"/>
    <w:rsid w:val="00924ED9"/>
    <w:rsid w:val="0092594C"/>
    <w:rsid w:val="009277E9"/>
    <w:rsid w:val="00927BBC"/>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5459"/>
    <w:rsid w:val="009563AA"/>
    <w:rsid w:val="00957B91"/>
    <w:rsid w:val="0096004E"/>
    <w:rsid w:val="009623A4"/>
    <w:rsid w:val="00963229"/>
    <w:rsid w:val="009637F5"/>
    <w:rsid w:val="00963D51"/>
    <w:rsid w:val="0096515A"/>
    <w:rsid w:val="0096573E"/>
    <w:rsid w:val="00965C79"/>
    <w:rsid w:val="00966491"/>
    <w:rsid w:val="00966601"/>
    <w:rsid w:val="00967094"/>
    <w:rsid w:val="00970079"/>
    <w:rsid w:val="009700A9"/>
    <w:rsid w:val="009703C9"/>
    <w:rsid w:val="00970A79"/>
    <w:rsid w:val="00971E20"/>
    <w:rsid w:val="009721C8"/>
    <w:rsid w:val="00973C9C"/>
    <w:rsid w:val="00974726"/>
    <w:rsid w:val="009752BD"/>
    <w:rsid w:val="009758CF"/>
    <w:rsid w:val="00975C56"/>
    <w:rsid w:val="00976D44"/>
    <w:rsid w:val="009835C4"/>
    <w:rsid w:val="00983D02"/>
    <w:rsid w:val="0098672A"/>
    <w:rsid w:val="009868F8"/>
    <w:rsid w:val="00986DB7"/>
    <w:rsid w:val="00987B88"/>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42D"/>
    <w:rsid w:val="009A5983"/>
    <w:rsid w:val="009A5C14"/>
    <w:rsid w:val="009A6DC0"/>
    <w:rsid w:val="009A7763"/>
    <w:rsid w:val="009A7A9E"/>
    <w:rsid w:val="009A7B95"/>
    <w:rsid w:val="009B05E8"/>
    <w:rsid w:val="009B05F1"/>
    <w:rsid w:val="009B126C"/>
    <w:rsid w:val="009B1592"/>
    <w:rsid w:val="009B1936"/>
    <w:rsid w:val="009B19B4"/>
    <w:rsid w:val="009B23A7"/>
    <w:rsid w:val="009B2CF2"/>
    <w:rsid w:val="009B45E7"/>
    <w:rsid w:val="009B493A"/>
    <w:rsid w:val="009B4DE3"/>
    <w:rsid w:val="009B62CB"/>
    <w:rsid w:val="009B6612"/>
    <w:rsid w:val="009B6A55"/>
    <w:rsid w:val="009B778D"/>
    <w:rsid w:val="009C0652"/>
    <w:rsid w:val="009C0F3B"/>
    <w:rsid w:val="009C158C"/>
    <w:rsid w:val="009C196E"/>
    <w:rsid w:val="009C2D0F"/>
    <w:rsid w:val="009C364A"/>
    <w:rsid w:val="009C3B52"/>
    <w:rsid w:val="009C4A6F"/>
    <w:rsid w:val="009C55EA"/>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83"/>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15"/>
    <w:rsid w:val="009F1BCB"/>
    <w:rsid w:val="009F2488"/>
    <w:rsid w:val="009F3650"/>
    <w:rsid w:val="009F428F"/>
    <w:rsid w:val="009F5FB6"/>
    <w:rsid w:val="009F6362"/>
    <w:rsid w:val="009F6E81"/>
    <w:rsid w:val="009F7321"/>
    <w:rsid w:val="009F7500"/>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34BC"/>
    <w:rsid w:val="00A1446C"/>
    <w:rsid w:val="00A14857"/>
    <w:rsid w:val="00A14944"/>
    <w:rsid w:val="00A17F32"/>
    <w:rsid w:val="00A2017E"/>
    <w:rsid w:val="00A2337E"/>
    <w:rsid w:val="00A23EB7"/>
    <w:rsid w:val="00A24A28"/>
    <w:rsid w:val="00A24FA6"/>
    <w:rsid w:val="00A2547A"/>
    <w:rsid w:val="00A261BA"/>
    <w:rsid w:val="00A32AE5"/>
    <w:rsid w:val="00A3367C"/>
    <w:rsid w:val="00A343D4"/>
    <w:rsid w:val="00A370F2"/>
    <w:rsid w:val="00A403A8"/>
    <w:rsid w:val="00A404B2"/>
    <w:rsid w:val="00A406CF"/>
    <w:rsid w:val="00A406D2"/>
    <w:rsid w:val="00A40D2D"/>
    <w:rsid w:val="00A41901"/>
    <w:rsid w:val="00A41B44"/>
    <w:rsid w:val="00A41CE3"/>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0F1"/>
    <w:rsid w:val="00A5721B"/>
    <w:rsid w:val="00A57EF6"/>
    <w:rsid w:val="00A57FD5"/>
    <w:rsid w:val="00A60463"/>
    <w:rsid w:val="00A60D31"/>
    <w:rsid w:val="00A61B87"/>
    <w:rsid w:val="00A62028"/>
    <w:rsid w:val="00A62A2F"/>
    <w:rsid w:val="00A62FE0"/>
    <w:rsid w:val="00A6320B"/>
    <w:rsid w:val="00A6397B"/>
    <w:rsid w:val="00A6444C"/>
    <w:rsid w:val="00A64491"/>
    <w:rsid w:val="00A64CBD"/>
    <w:rsid w:val="00A65141"/>
    <w:rsid w:val="00A6534F"/>
    <w:rsid w:val="00A66DA4"/>
    <w:rsid w:val="00A70638"/>
    <w:rsid w:val="00A71053"/>
    <w:rsid w:val="00A7176E"/>
    <w:rsid w:val="00A71B13"/>
    <w:rsid w:val="00A74126"/>
    <w:rsid w:val="00A742A4"/>
    <w:rsid w:val="00A7441C"/>
    <w:rsid w:val="00A745D2"/>
    <w:rsid w:val="00A74951"/>
    <w:rsid w:val="00A75036"/>
    <w:rsid w:val="00A7606A"/>
    <w:rsid w:val="00A7612D"/>
    <w:rsid w:val="00A76C4C"/>
    <w:rsid w:val="00A7702A"/>
    <w:rsid w:val="00A80332"/>
    <w:rsid w:val="00A80D18"/>
    <w:rsid w:val="00A82048"/>
    <w:rsid w:val="00A83402"/>
    <w:rsid w:val="00A84413"/>
    <w:rsid w:val="00A85069"/>
    <w:rsid w:val="00A851D3"/>
    <w:rsid w:val="00A85C99"/>
    <w:rsid w:val="00A85E54"/>
    <w:rsid w:val="00A86059"/>
    <w:rsid w:val="00A8667F"/>
    <w:rsid w:val="00A8682A"/>
    <w:rsid w:val="00A877EA"/>
    <w:rsid w:val="00A90434"/>
    <w:rsid w:val="00A90848"/>
    <w:rsid w:val="00A90D5D"/>
    <w:rsid w:val="00A919A8"/>
    <w:rsid w:val="00A943CD"/>
    <w:rsid w:val="00A94817"/>
    <w:rsid w:val="00A95E04"/>
    <w:rsid w:val="00A9702D"/>
    <w:rsid w:val="00AA0847"/>
    <w:rsid w:val="00AA09CE"/>
    <w:rsid w:val="00AA0DAC"/>
    <w:rsid w:val="00AA109A"/>
    <w:rsid w:val="00AA184D"/>
    <w:rsid w:val="00AA21D4"/>
    <w:rsid w:val="00AA2273"/>
    <w:rsid w:val="00AA3ADF"/>
    <w:rsid w:val="00AA4064"/>
    <w:rsid w:val="00AA4180"/>
    <w:rsid w:val="00AA41D9"/>
    <w:rsid w:val="00AA4411"/>
    <w:rsid w:val="00AA4945"/>
    <w:rsid w:val="00AA4CB2"/>
    <w:rsid w:val="00AA4D15"/>
    <w:rsid w:val="00AA4F18"/>
    <w:rsid w:val="00AA7124"/>
    <w:rsid w:val="00AA7490"/>
    <w:rsid w:val="00AA7EB9"/>
    <w:rsid w:val="00AB0321"/>
    <w:rsid w:val="00AB1B43"/>
    <w:rsid w:val="00AB21EA"/>
    <w:rsid w:val="00AB29DA"/>
    <w:rsid w:val="00AB2D5C"/>
    <w:rsid w:val="00AB3BFD"/>
    <w:rsid w:val="00AB516D"/>
    <w:rsid w:val="00AB51C0"/>
    <w:rsid w:val="00AB538D"/>
    <w:rsid w:val="00AB70F7"/>
    <w:rsid w:val="00AC078F"/>
    <w:rsid w:val="00AC12F5"/>
    <w:rsid w:val="00AC2A9D"/>
    <w:rsid w:val="00AC56CE"/>
    <w:rsid w:val="00AC59CF"/>
    <w:rsid w:val="00AC604F"/>
    <w:rsid w:val="00AC71B2"/>
    <w:rsid w:val="00AC7414"/>
    <w:rsid w:val="00AC79C0"/>
    <w:rsid w:val="00AD1227"/>
    <w:rsid w:val="00AD21DC"/>
    <w:rsid w:val="00AD2321"/>
    <w:rsid w:val="00AD240B"/>
    <w:rsid w:val="00AD2F15"/>
    <w:rsid w:val="00AD34FD"/>
    <w:rsid w:val="00AD4224"/>
    <w:rsid w:val="00AD4E75"/>
    <w:rsid w:val="00AD6DC7"/>
    <w:rsid w:val="00AD74C8"/>
    <w:rsid w:val="00AD7FF6"/>
    <w:rsid w:val="00AE047F"/>
    <w:rsid w:val="00AE2F67"/>
    <w:rsid w:val="00AE3181"/>
    <w:rsid w:val="00AE357C"/>
    <w:rsid w:val="00AE4CB1"/>
    <w:rsid w:val="00AE6795"/>
    <w:rsid w:val="00AE6D50"/>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3AE6"/>
    <w:rsid w:val="00B04BED"/>
    <w:rsid w:val="00B05204"/>
    <w:rsid w:val="00B06A7F"/>
    <w:rsid w:val="00B10470"/>
    <w:rsid w:val="00B10AEC"/>
    <w:rsid w:val="00B12515"/>
    <w:rsid w:val="00B1367C"/>
    <w:rsid w:val="00B15453"/>
    <w:rsid w:val="00B15D86"/>
    <w:rsid w:val="00B16963"/>
    <w:rsid w:val="00B1774E"/>
    <w:rsid w:val="00B17E9C"/>
    <w:rsid w:val="00B2044E"/>
    <w:rsid w:val="00B2285C"/>
    <w:rsid w:val="00B22942"/>
    <w:rsid w:val="00B23368"/>
    <w:rsid w:val="00B234B3"/>
    <w:rsid w:val="00B23BB3"/>
    <w:rsid w:val="00B23C9D"/>
    <w:rsid w:val="00B24FA2"/>
    <w:rsid w:val="00B250AC"/>
    <w:rsid w:val="00B26121"/>
    <w:rsid w:val="00B266B6"/>
    <w:rsid w:val="00B267B6"/>
    <w:rsid w:val="00B2696E"/>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10F6"/>
    <w:rsid w:val="00B42F46"/>
    <w:rsid w:val="00B4322A"/>
    <w:rsid w:val="00B432A2"/>
    <w:rsid w:val="00B43D87"/>
    <w:rsid w:val="00B45440"/>
    <w:rsid w:val="00B4580B"/>
    <w:rsid w:val="00B4724A"/>
    <w:rsid w:val="00B50405"/>
    <w:rsid w:val="00B51977"/>
    <w:rsid w:val="00B53BE1"/>
    <w:rsid w:val="00B54266"/>
    <w:rsid w:val="00B5466A"/>
    <w:rsid w:val="00B546E5"/>
    <w:rsid w:val="00B54E07"/>
    <w:rsid w:val="00B565C8"/>
    <w:rsid w:val="00B56CE1"/>
    <w:rsid w:val="00B575ED"/>
    <w:rsid w:val="00B5785B"/>
    <w:rsid w:val="00B57F78"/>
    <w:rsid w:val="00B61952"/>
    <w:rsid w:val="00B625E0"/>
    <w:rsid w:val="00B62F9E"/>
    <w:rsid w:val="00B6326B"/>
    <w:rsid w:val="00B64124"/>
    <w:rsid w:val="00B64B57"/>
    <w:rsid w:val="00B65A04"/>
    <w:rsid w:val="00B66F7A"/>
    <w:rsid w:val="00B67ED0"/>
    <w:rsid w:val="00B7010C"/>
    <w:rsid w:val="00B704AF"/>
    <w:rsid w:val="00B708EA"/>
    <w:rsid w:val="00B70ABC"/>
    <w:rsid w:val="00B70E53"/>
    <w:rsid w:val="00B71451"/>
    <w:rsid w:val="00B74278"/>
    <w:rsid w:val="00B74705"/>
    <w:rsid w:val="00B74730"/>
    <w:rsid w:val="00B75149"/>
    <w:rsid w:val="00B75F1C"/>
    <w:rsid w:val="00B803D6"/>
    <w:rsid w:val="00B81460"/>
    <w:rsid w:val="00B819B6"/>
    <w:rsid w:val="00B83257"/>
    <w:rsid w:val="00B83A93"/>
    <w:rsid w:val="00B86B21"/>
    <w:rsid w:val="00B87871"/>
    <w:rsid w:val="00B903E3"/>
    <w:rsid w:val="00B911C2"/>
    <w:rsid w:val="00B9179C"/>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E0A"/>
    <w:rsid w:val="00BC6FDF"/>
    <w:rsid w:val="00BC7725"/>
    <w:rsid w:val="00BC7AE4"/>
    <w:rsid w:val="00BC7D79"/>
    <w:rsid w:val="00BC7D81"/>
    <w:rsid w:val="00BD02DD"/>
    <w:rsid w:val="00BD09E2"/>
    <w:rsid w:val="00BD2234"/>
    <w:rsid w:val="00BD38DF"/>
    <w:rsid w:val="00BD4A4B"/>
    <w:rsid w:val="00BD4C27"/>
    <w:rsid w:val="00BD626E"/>
    <w:rsid w:val="00BD6E92"/>
    <w:rsid w:val="00BD759F"/>
    <w:rsid w:val="00BD7A22"/>
    <w:rsid w:val="00BE05BB"/>
    <w:rsid w:val="00BE0F25"/>
    <w:rsid w:val="00BE207E"/>
    <w:rsid w:val="00BE274E"/>
    <w:rsid w:val="00BE2B1B"/>
    <w:rsid w:val="00BE336C"/>
    <w:rsid w:val="00BE3FEB"/>
    <w:rsid w:val="00BE4B81"/>
    <w:rsid w:val="00BE4C01"/>
    <w:rsid w:val="00BE4D2C"/>
    <w:rsid w:val="00BE74DF"/>
    <w:rsid w:val="00BE7988"/>
    <w:rsid w:val="00BE7F6B"/>
    <w:rsid w:val="00BF0382"/>
    <w:rsid w:val="00BF082E"/>
    <w:rsid w:val="00BF0FC4"/>
    <w:rsid w:val="00BF1E0A"/>
    <w:rsid w:val="00BF2568"/>
    <w:rsid w:val="00BF27E9"/>
    <w:rsid w:val="00BF2D62"/>
    <w:rsid w:val="00BF4212"/>
    <w:rsid w:val="00BF5F68"/>
    <w:rsid w:val="00BF694E"/>
    <w:rsid w:val="00BF6F76"/>
    <w:rsid w:val="00C02978"/>
    <w:rsid w:val="00C034A9"/>
    <w:rsid w:val="00C03859"/>
    <w:rsid w:val="00C03913"/>
    <w:rsid w:val="00C03DBF"/>
    <w:rsid w:val="00C04FA0"/>
    <w:rsid w:val="00C05E01"/>
    <w:rsid w:val="00C05E42"/>
    <w:rsid w:val="00C06075"/>
    <w:rsid w:val="00C063F1"/>
    <w:rsid w:val="00C068D6"/>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5E2D"/>
    <w:rsid w:val="00C260F7"/>
    <w:rsid w:val="00C266D3"/>
    <w:rsid w:val="00C266DA"/>
    <w:rsid w:val="00C26FE9"/>
    <w:rsid w:val="00C27941"/>
    <w:rsid w:val="00C27BD3"/>
    <w:rsid w:val="00C27D03"/>
    <w:rsid w:val="00C31095"/>
    <w:rsid w:val="00C31607"/>
    <w:rsid w:val="00C31721"/>
    <w:rsid w:val="00C32321"/>
    <w:rsid w:val="00C32332"/>
    <w:rsid w:val="00C349F0"/>
    <w:rsid w:val="00C34A1E"/>
    <w:rsid w:val="00C34C4A"/>
    <w:rsid w:val="00C3720B"/>
    <w:rsid w:val="00C3793F"/>
    <w:rsid w:val="00C37982"/>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43D"/>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0578"/>
    <w:rsid w:val="00C72223"/>
    <w:rsid w:val="00C734C0"/>
    <w:rsid w:val="00C73966"/>
    <w:rsid w:val="00C7422F"/>
    <w:rsid w:val="00C751BF"/>
    <w:rsid w:val="00C762C7"/>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361"/>
    <w:rsid w:val="00CC5F27"/>
    <w:rsid w:val="00CC63FE"/>
    <w:rsid w:val="00CC661E"/>
    <w:rsid w:val="00CC6760"/>
    <w:rsid w:val="00CC7437"/>
    <w:rsid w:val="00CD1841"/>
    <w:rsid w:val="00CD20E1"/>
    <w:rsid w:val="00CD2951"/>
    <w:rsid w:val="00CD2ABD"/>
    <w:rsid w:val="00CD3BBB"/>
    <w:rsid w:val="00CD3C54"/>
    <w:rsid w:val="00CD6CCD"/>
    <w:rsid w:val="00CE106C"/>
    <w:rsid w:val="00CE3521"/>
    <w:rsid w:val="00CE3BC2"/>
    <w:rsid w:val="00CE5723"/>
    <w:rsid w:val="00CE6ED8"/>
    <w:rsid w:val="00CE74C3"/>
    <w:rsid w:val="00CF0EFF"/>
    <w:rsid w:val="00CF1168"/>
    <w:rsid w:val="00CF1C88"/>
    <w:rsid w:val="00CF3FC7"/>
    <w:rsid w:val="00CF4077"/>
    <w:rsid w:val="00CF4841"/>
    <w:rsid w:val="00CF4C52"/>
    <w:rsid w:val="00CF5493"/>
    <w:rsid w:val="00CF67D8"/>
    <w:rsid w:val="00CF694E"/>
    <w:rsid w:val="00CF6BF4"/>
    <w:rsid w:val="00CF72BC"/>
    <w:rsid w:val="00CF7DE9"/>
    <w:rsid w:val="00D00AEB"/>
    <w:rsid w:val="00D01398"/>
    <w:rsid w:val="00D0189D"/>
    <w:rsid w:val="00D04528"/>
    <w:rsid w:val="00D050BA"/>
    <w:rsid w:val="00D052C5"/>
    <w:rsid w:val="00D05E32"/>
    <w:rsid w:val="00D06FC6"/>
    <w:rsid w:val="00D101D7"/>
    <w:rsid w:val="00D106A3"/>
    <w:rsid w:val="00D11CE7"/>
    <w:rsid w:val="00D12281"/>
    <w:rsid w:val="00D14D03"/>
    <w:rsid w:val="00D15896"/>
    <w:rsid w:val="00D15CD5"/>
    <w:rsid w:val="00D15E15"/>
    <w:rsid w:val="00D160C0"/>
    <w:rsid w:val="00D174F0"/>
    <w:rsid w:val="00D175B7"/>
    <w:rsid w:val="00D17707"/>
    <w:rsid w:val="00D20C87"/>
    <w:rsid w:val="00D21DD1"/>
    <w:rsid w:val="00D22569"/>
    <w:rsid w:val="00D26CDC"/>
    <w:rsid w:val="00D2772F"/>
    <w:rsid w:val="00D3079F"/>
    <w:rsid w:val="00D30C5E"/>
    <w:rsid w:val="00D3100A"/>
    <w:rsid w:val="00D312EB"/>
    <w:rsid w:val="00D31D97"/>
    <w:rsid w:val="00D3348F"/>
    <w:rsid w:val="00D33C30"/>
    <w:rsid w:val="00D3413F"/>
    <w:rsid w:val="00D3483B"/>
    <w:rsid w:val="00D3497A"/>
    <w:rsid w:val="00D373B0"/>
    <w:rsid w:val="00D40C75"/>
    <w:rsid w:val="00D40F22"/>
    <w:rsid w:val="00D4142C"/>
    <w:rsid w:val="00D42227"/>
    <w:rsid w:val="00D4229B"/>
    <w:rsid w:val="00D42F0B"/>
    <w:rsid w:val="00D42F78"/>
    <w:rsid w:val="00D43A3F"/>
    <w:rsid w:val="00D44B7B"/>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090E"/>
    <w:rsid w:val="00D60FEA"/>
    <w:rsid w:val="00D62A8B"/>
    <w:rsid w:val="00D63043"/>
    <w:rsid w:val="00D63B87"/>
    <w:rsid w:val="00D67005"/>
    <w:rsid w:val="00D67843"/>
    <w:rsid w:val="00D7037D"/>
    <w:rsid w:val="00D71595"/>
    <w:rsid w:val="00D71741"/>
    <w:rsid w:val="00D71B33"/>
    <w:rsid w:val="00D72122"/>
    <w:rsid w:val="00D72158"/>
    <w:rsid w:val="00D721A5"/>
    <w:rsid w:val="00D73025"/>
    <w:rsid w:val="00D740F4"/>
    <w:rsid w:val="00D75943"/>
    <w:rsid w:val="00D802FD"/>
    <w:rsid w:val="00D824F2"/>
    <w:rsid w:val="00D82CD4"/>
    <w:rsid w:val="00D833A1"/>
    <w:rsid w:val="00D847A7"/>
    <w:rsid w:val="00D84A02"/>
    <w:rsid w:val="00D857E5"/>
    <w:rsid w:val="00D869C5"/>
    <w:rsid w:val="00D932E1"/>
    <w:rsid w:val="00D937A6"/>
    <w:rsid w:val="00D94A5A"/>
    <w:rsid w:val="00D97721"/>
    <w:rsid w:val="00D97B6A"/>
    <w:rsid w:val="00DA0427"/>
    <w:rsid w:val="00DA05B7"/>
    <w:rsid w:val="00DA127D"/>
    <w:rsid w:val="00DA1FAD"/>
    <w:rsid w:val="00DA266F"/>
    <w:rsid w:val="00DA26A7"/>
    <w:rsid w:val="00DA2928"/>
    <w:rsid w:val="00DA30E8"/>
    <w:rsid w:val="00DA3AE2"/>
    <w:rsid w:val="00DA3B33"/>
    <w:rsid w:val="00DA42A3"/>
    <w:rsid w:val="00DA5B4D"/>
    <w:rsid w:val="00DA5CDB"/>
    <w:rsid w:val="00DA7075"/>
    <w:rsid w:val="00DA74A2"/>
    <w:rsid w:val="00DB1B33"/>
    <w:rsid w:val="00DB3CEF"/>
    <w:rsid w:val="00DB47D6"/>
    <w:rsid w:val="00DB4FFA"/>
    <w:rsid w:val="00DB65DC"/>
    <w:rsid w:val="00DB6650"/>
    <w:rsid w:val="00DB6664"/>
    <w:rsid w:val="00DB73FB"/>
    <w:rsid w:val="00DB7B75"/>
    <w:rsid w:val="00DB7CD4"/>
    <w:rsid w:val="00DC0DBE"/>
    <w:rsid w:val="00DC2BD5"/>
    <w:rsid w:val="00DC429D"/>
    <w:rsid w:val="00DC4ACC"/>
    <w:rsid w:val="00DC5146"/>
    <w:rsid w:val="00DC62D9"/>
    <w:rsid w:val="00DC6512"/>
    <w:rsid w:val="00DC6E17"/>
    <w:rsid w:val="00DC6F8F"/>
    <w:rsid w:val="00DD26B7"/>
    <w:rsid w:val="00DD32D3"/>
    <w:rsid w:val="00DD35D4"/>
    <w:rsid w:val="00DD3E76"/>
    <w:rsid w:val="00DD4A1A"/>
    <w:rsid w:val="00DD4C4B"/>
    <w:rsid w:val="00DD4DCA"/>
    <w:rsid w:val="00DD5001"/>
    <w:rsid w:val="00DD5181"/>
    <w:rsid w:val="00DD5CCB"/>
    <w:rsid w:val="00DD6003"/>
    <w:rsid w:val="00DD6189"/>
    <w:rsid w:val="00DD668A"/>
    <w:rsid w:val="00DD7A51"/>
    <w:rsid w:val="00DD7B1D"/>
    <w:rsid w:val="00DE1A4C"/>
    <w:rsid w:val="00DE1EC5"/>
    <w:rsid w:val="00DE285A"/>
    <w:rsid w:val="00DE288C"/>
    <w:rsid w:val="00DE2F3F"/>
    <w:rsid w:val="00DE3AB1"/>
    <w:rsid w:val="00DE505B"/>
    <w:rsid w:val="00DE51AF"/>
    <w:rsid w:val="00DE5417"/>
    <w:rsid w:val="00DE5630"/>
    <w:rsid w:val="00DE5A55"/>
    <w:rsid w:val="00DE7227"/>
    <w:rsid w:val="00DE76FC"/>
    <w:rsid w:val="00DF0F94"/>
    <w:rsid w:val="00DF136E"/>
    <w:rsid w:val="00DF2934"/>
    <w:rsid w:val="00DF3789"/>
    <w:rsid w:val="00DF3F22"/>
    <w:rsid w:val="00DF4241"/>
    <w:rsid w:val="00DF45B4"/>
    <w:rsid w:val="00DF4BAB"/>
    <w:rsid w:val="00DF4E86"/>
    <w:rsid w:val="00DF5D14"/>
    <w:rsid w:val="00DF5E0F"/>
    <w:rsid w:val="00DF608E"/>
    <w:rsid w:val="00DF6CC5"/>
    <w:rsid w:val="00DF6FF1"/>
    <w:rsid w:val="00DF76E0"/>
    <w:rsid w:val="00E0139A"/>
    <w:rsid w:val="00E015A9"/>
    <w:rsid w:val="00E016B1"/>
    <w:rsid w:val="00E02883"/>
    <w:rsid w:val="00E03889"/>
    <w:rsid w:val="00E04029"/>
    <w:rsid w:val="00E04242"/>
    <w:rsid w:val="00E06496"/>
    <w:rsid w:val="00E06F81"/>
    <w:rsid w:val="00E0785F"/>
    <w:rsid w:val="00E07DFA"/>
    <w:rsid w:val="00E10861"/>
    <w:rsid w:val="00E10E63"/>
    <w:rsid w:val="00E120BC"/>
    <w:rsid w:val="00E1376C"/>
    <w:rsid w:val="00E15635"/>
    <w:rsid w:val="00E16BEE"/>
    <w:rsid w:val="00E17373"/>
    <w:rsid w:val="00E21914"/>
    <w:rsid w:val="00E21B02"/>
    <w:rsid w:val="00E22D70"/>
    <w:rsid w:val="00E23869"/>
    <w:rsid w:val="00E251B1"/>
    <w:rsid w:val="00E26156"/>
    <w:rsid w:val="00E27323"/>
    <w:rsid w:val="00E3099D"/>
    <w:rsid w:val="00E32786"/>
    <w:rsid w:val="00E333FB"/>
    <w:rsid w:val="00E3345C"/>
    <w:rsid w:val="00E335BB"/>
    <w:rsid w:val="00E33B57"/>
    <w:rsid w:val="00E34598"/>
    <w:rsid w:val="00E35822"/>
    <w:rsid w:val="00E36150"/>
    <w:rsid w:val="00E36F7B"/>
    <w:rsid w:val="00E37DF6"/>
    <w:rsid w:val="00E40778"/>
    <w:rsid w:val="00E41642"/>
    <w:rsid w:val="00E4174E"/>
    <w:rsid w:val="00E41FE9"/>
    <w:rsid w:val="00E4501A"/>
    <w:rsid w:val="00E45786"/>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3FC6"/>
    <w:rsid w:val="00E65D86"/>
    <w:rsid w:val="00E66967"/>
    <w:rsid w:val="00E67E1C"/>
    <w:rsid w:val="00E7052A"/>
    <w:rsid w:val="00E70E2A"/>
    <w:rsid w:val="00E71A18"/>
    <w:rsid w:val="00E721D3"/>
    <w:rsid w:val="00E726B9"/>
    <w:rsid w:val="00E72C1A"/>
    <w:rsid w:val="00E74BBE"/>
    <w:rsid w:val="00E763CD"/>
    <w:rsid w:val="00E76A0F"/>
    <w:rsid w:val="00E7711B"/>
    <w:rsid w:val="00E807D4"/>
    <w:rsid w:val="00E80A66"/>
    <w:rsid w:val="00E8114F"/>
    <w:rsid w:val="00E817AA"/>
    <w:rsid w:val="00E828F9"/>
    <w:rsid w:val="00E82B64"/>
    <w:rsid w:val="00E83E08"/>
    <w:rsid w:val="00E850A3"/>
    <w:rsid w:val="00E8528B"/>
    <w:rsid w:val="00E859BA"/>
    <w:rsid w:val="00E862E2"/>
    <w:rsid w:val="00E86A15"/>
    <w:rsid w:val="00E86C41"/>
    <w:rsid w:val="00E87034"/>
    <w:rsid w:val="00E870B0"/>
    <w:rsid w:val="00E90733"/>
    <w:rsid w:val="00E90F26"/>
    <w:rsid w:val="00E92A06"/>
    <w:rsid w:val="00E92F4A"/>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77A"/>
    <w:rsid w:val="00EB7B3E"/>
    <w:rsid w:val="00EC0FC7"/>
    <w:rsid w:val="00EC2254"/>
    <w:rsid w:val="00EC2329"/>
    <w:rsid w:val="00EC3466"/>
    <w:rsid w:val="00EC37C6"/>
    <w:rsid w:val="00EC38C9"/>
    <w:rsid w:val="00EC3CEA"/>
    <w:rsid w:val="00EC4ACC"/>
    <w:rsid w:val="00EC4F16"/>
    <w:rsid w:val="00EC5998"/>
    <w:rsid w:val="00EC6291"/>
    <w:rsid w:val="00EC730F"/>
    <w:rsid w:val="00EC744B"/>
    <w:rsid w:val="00EC778D"/>
    <w:rsid w:val="00EC7B5A"/>
    <w:rsid w:val="00ED1151"/>
    <w:rsid w:val="00ED1573"/>
    <w:rsid w:val="00ED1966"/>
    <w:rsid w:val="00ED1D0F"/>
    <w:rsid w:val="00ED2394"/>
    <w:rsid w:val="00ED2DFA"/>
    <w:rsid w:val="00ED419B"/>
    <w:rsid w:val="00ED4DA5"/>
    <w:rsid w:val="00ED5AAA"/>
    <w:rsid w:val="00ED5AF3"/>
    <w:rsid w:val="00ED6E55"/>
    <w:rsid w:val="00ED70CB"/>
    <w:rsid w:val="00ED71E9"/>
    <w:rsid w:val="00ED7419"/>
    <w:rsid w:val="00EE050F"/>
    <w:rsid w:val="00EE081A"/>
    <w:rsid w:val="00EE1CE1"/>
    <w:rsid w:val="00EE1EB5"/>
    <w:rsid w:val="00EE243B"/>
    <w:rsid w:val="00EE38B5"/>
    <w:rsid w:val="00EE60DB"/>
    <w:rsid w:val="00EE6883"/>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D54"/>
    <w:rsid w:val="00EF7F09"/>
    <w:rsid w:val="00F0059C"/>
    <w:rsid w:val="00F016CA"/>
    <w:rsid w:val="00F01BF9"/>
    <w:rsid w:val="00F01E4F"/>
    <w:rsid w:val="00F02C3D"/>
    <w:rsid w:val="00F04143"/>
    <w:rsid w:val="00F0482C"/>
    <w:rsid w:val="00F05994"/>
    <w:rsid w:val="00F07279"/>
    <w:rsid w:val="00F0740D"/>
    <w:rsid w:val="00F07750"/>
    <w:rsid w:val="00F07756"/>
    <w:rsid w:val="00F07780"/>
    <w:rsid w:val="00F0785B"/>
    <w:rsid w:val="00F07C31"/>
    <w:rsid w:val="00F106C0"/>
    <w:rsid w:val="00F10988"/>
    <w:rsid w:val="00F10A7A"/>
    <w:rsid w:val="00F10A86"/>
    <w:rsid w:val="00F1110C"/>
    <w:rsid w:val="00F11550"/>
    <w:rsid w:val="00F12149"/>
    <w:rsid w:val="00F12E25"/>
    <w:rsid w:val="00F13587"/>
    <w:rsid w:val="00F13834"/>
    <w:rsid w:val="00F16387"/>
    <w:rsid w:val="00F2036A"/>
    <w:rsid w:val="00F2038F"/>
    <w:rsid w:val="00F203C7"/>
    <w:rsid w:val="00F20E47"/>
    <w:rsid w:val="00F210E0"/>
    <w:rsid w:val="00F21646"/>
    <w:rsid w:val="00F21917"/>
    <w:rsid w:val="00F25CBF"/>
    <w:rsid w:val="00F27A4B"/>
    <w:rsid w:val="00F27BB1"/>
    <w:rsid w:val="00F3088C"/>
    <w:rsid w:val="00F312AF"/>
    <w:rsid w:val="00F31BEE"/>
    <w:rsid w:val="00F32B0E"/>
    <w:rsid w:val="00F33DC4"/>
    <w:rsid w:val="00F34495"/>
    <w:rsid w:val="00F35946"/>
    <w:rsid w:val="00F359C0"/>
    <w:rsid w:val="00F37DBE"/>
    <w:rsid w:val="00F40203"/>
    <w:rsid w:val="00F40E32"/>
    <w:rsid w:val="00F410B7"/>
    <w:rsid w:val="00F41778"/>
    <w:rsid w:val="00F421EA"/>
    <w:rsid w:val="00F430AC"/>
    <w:rsid w:val="00F44E9D"/>
    <w:rsid w:val="00F462D5"/>
    <w:rsid w:val="00F46975"/>
    <w:rsid w:val="00F477B9"/>
    <w:rsid w:val="00F50794"/>
    <w:rsid w:val="00F516B5"/>
    <w:rsid w:val="00F516F6"/>
    <w:rsid w:val="00F52F08"/>
    <w:rsid w:val="00F53604"/>
    <w:rsid w:val="00F54A39"/>
    <w:rsid w:val="00F54B2D"/>
    <w:rsid w:val="00F54BBB"/>
    <w:rsid w:val="00F55625"/>
    <w:rsid w:val="00F55D59"/>
    <w:rsid w:val="00F55EC6"/>
    <w:rsid w:val="00F55FAE"/>
    <w:rsid w:val="00F5704C"/>
    <w:rsid w:val="00F571C3"/>
    <w:rsid w:val="00F60171"/>
    <w:rsid w:val="00F603C9"/>
    <w:rsid w:val="00F6086F"/>
    <w:rsid w:val="00F613FA"/>
    <w:rsid w:val="00F62FDA"/>
    <w:rsid w:val="00F6631F"/>
    <w:rsid w:val="00F6634B"/>
    <w:rsid w:val="00F7059C"/>
    <w:rsid w:val="00F71C7D"/>
    <w:rsid w:val="00F72112"/>
    <w:rsid w:val="00F723D6"/>
    <w:rsid w:val="00F724AB"/>
    <w:rsid w:val="00F7325B"/>
    <w:rsid w:val="00F7338C"/>
    <w:rsid w:val="00F757A1"/>
    <w:rsid w:val="00F7798C"/>
    <w:rsid w:val="00F77E87"/>
    <w:rsid w:val="00F806A9"/>
    <w:rsid w:val="00F81620"/>
    <w:rsid w:val="00F82107"/>
    <w:rsid w:val="00F8217F"/>
    <w:rsid w:val="00F83113"/>
    <w:rsid w:val="00F83C22"/>
    <w:rsid w:val="00F84521"/>
    <w:rsid w:val="00F84BDC"/>
    <w:rsid w:val="00F86B61"/>
    <w:rsid w:val="00F86CF5"/>
    <w:rsid w:val="00F87451"/>
    <w:rsid w:val="00F874EE"/>
    <w:rsid w:val="00F8785D"/>
    <w:rsid w:val="00F906AB"/>
    <w:rsid w:val="00F91766"/>
    <w:rsid w:val="00F91A6E"/>
    <w:rsid w:val="00F924B3"/>
    <w:rsid w:val="00F9355B"/>
    <w:rsid w:val="00F94E4E"/>
    <w:rsid w:val="00F96B7D"/>
    <w:rsid w:val="00F96F74"/>
    <w:rsid w:val="00FA0537"/>
    <w:rsid w:val="00FA07C3"/>
    <w:rsid w:val="00FA0F24"/>
    <w:rsid w:val="00FA1D08"/>
    <w:rsid w:val="00FA25EA"/>
    <w:rsid w:val="00FA2ECA"/>
    <w:rsid w:val="00FA2FA8"/>
    <w:rsid w:val="00FA5F04"/>
    <w:rsid w:val="00FA65E5"/>
    <w:rsid w:val="00FA65E6"/>
    <w:rsid w:val="00FA6A63"/>
    <w:rsid w:val="00FA74C0"/>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5AD5"/>
    <w:rsid w:val="00FC6359"/>
    <w:rsid w:val="00FC6B40"/>
    <w:rsid w:val="00FC6F54"/>
    <w:rsid w:val="00FC74ED"/>
    <w:rsid w:val="00FC7979"/>
    <w:rsid w:val="00FC7CE2"/>
    <w:rsid w:val="00FD1489"/>
    <w:rsid w:val="00FD15A5"/>
    <w:rsid w:val="00FD2169"/>
    <w:rsid w:val="00FD245E"/>
    <w:rsid w:val="00FD24D9"/>
    <w:rsid w:val="00FD2B4A"/>
    <w:rsid w:val="00FD43CA"/>
    <w:rsid w:val="00FD4B6C"/>
    <w:rsid w:val="00FD6225"/>
    <w:rsid w:val="00FD6598"/>
    <w:rsid w:val="00FD760A"/>
    <w:rsid w:val="00FD7787"/>
    <w:rsid w:val="00FD7C6C"/>
    <w:rsid w:val="00FE01F1"/>
    <w:rsid w:val="00FE0E33"/>
    <w:rsid w:val="00FE1A5C"/>
    <w:rsid w:val="00FE1CB9"/>
    <w:rsid w:val="00FE2B98"/>
    <w:rsid w:val="00FE3040"/>
    <w:rsid w:val="00FE4FE0"/>
    <w:rsid w:val="00FE54A8"/>
    <w:rsid w:val="00FE5E25"/>
    <w:rsid w:val="00FE6741"/>
    <w:rsid w:val="00FE6B1A"/>
    <w:rsid w:val="00FF06F9"/>
    <w:rsid w:val="00FF0FB4"/>
    <w:rsid w:val="00FF1A88"/>
    <w:rsid w:val="00FF260E"/>
    <w:rsid w:val="00FF2B2A"/>
    <w:rsid w:val="00FF2B97"/>
    <w:rsid w:val="00FF47D8"/>
    <w:rsid w:val="00FF4EE6"/>
    <w:rsid w:val="00FF683E"/>
    <w:rsid w:val="00FF7E53"/>
    <w:rsid w:val="01017C4C"/>
    <w:rsid w:val="01125275"/>
    <w:rsid w:val="0182314B"/>
    <w:rsid w:val="01BD44F5"/>
    <w:rsid w:val="020D40B4"/>
    <w:rsid w:val="02437D0C"/>
    <w:rsid w:val="02442C1F"/>
    <w:rsid w:val="02794D3F"/>
    <w:rsid w:val="02BD5872"/>
    <w:rsid w:val="02C40750"/>
    <w:rsid w:val="032A7E2C"/>
    <w:rsid w:val="038A621C"/>
    <w:rsid w:val="039E0B4E"/>
    <w:rsid w:val="044F5401"/>
    <w:rsid w:val="04825F32"/>
    <w:rsid w:val="048B3EF4"/>
    <w:rsid w:val="048C3744"/>
    <w:rsid w:val="04AD4C6B"/>
    <w:rsid w:val="04AD6172"/>
    <w:rsid w:val="051E5CB0"/>
    <w:rsid w:val="051F0FAA"/>
    <w:rsid w:val="05AA1E2F"/>
    <w:rsid w:val="05C24554"/>
    <w:rsid w:val="05E565EA"/>
    <w:rsid w:val="061606D5"/>
    <w:rsid w:val="061A2F20"/>
    <w:rsid w:val="062A44D1"/>
    <w:rsid w:val="06525441"/>
    <w:rsid w:val="065B5A42"/>
    <w:rsid w:val="06D14EBD"/>
    <w:rsid w:val="07264310"/>
    <w:rsid w:val="07624D10"/>
    <w:rsid w:val="07690C89"/>
    <w:rsid w:val="076F40B3"/>
    <w:rsid w:val="07731EDA"/>
    <w:rsid w:val="081011F3"/>
    <w:rsid w:val="084B6744"/>
    <w:rsid w:val="08540DD2"/>
    <w:rsid w:val="08C124FC"/>
    <w:rsid w:val="08F80683"/>
    <w:rsid w:val="09014C79"/>
    <w:rsid w:val="09B853C9"/>
    <w:rsid w:val="0A173570"/>
    <w:rsid w:val="0B1834F1"/>
    <w:rsid w:val="0B707790"/>
    <w:rsid w:val="0B721E65"/>
    <w:rsid w:val="0B8D331C"/>
    <w:rsid w:val="0BCF6A0B"/>
    <w:rsid w:val="0C156571"/>
    <w:rsid w:val="0C2B4859"/>
    <w:rsid w:val="0C45445B"/>
    <w:rsid w:val="0C944AE0"/>
    <w:rsid w:val="0C973E26"/>
    <w:rsid w:val="0CE620D8"/>
    <w:rsid w:val="0D105514"/>
    <w:rsid w:val="0DAF4280"/>
    <w:rsid w:val="0E09186A"/>
    <w:rsid w:val="0E15040C"/>
    <w:rsid w:val="0EE14842"/>
    <w:rsid w:val="0EF57358"/>
    <w:rsid w:val="0F54176A"/>
    <w:rsid w:val="0F654FB0"/>
    <w:rsid w:val="0F6C53AF"/>
    <w:rsid w:val="0FBB0C4C"/>
    <w:rsid w:val="100F298C"/>
    <w:rsid w:val="108177A4"/>
    <w:rsid w:val="109B7D77"/>
    <w:rsid w:val="10E55ACF"/>
    <w:rsid w:val="110508C5"/>
    <w:rsid w:val="11177D15"/>
    <w:rsid w:val="11703FDD"/>
    <w:rsid w:val="11901742"/>
    <w:rsid w:val="11AB24C0"/>
    <w:rsid w:val="11CF7FD4"/>
    <w:rsid w:val="11EC350B"/>
    <w:rsid w:val="12261841"/>
    <w:rsid w:val="13062E97"/>
    <w:rsid w:val="136369E3"/>
    <w:rsid w:val="137D6995"/>
    <w:rsid w:val="13A4655C"/>
    <w:rsid w:val="13EB4DC2"/>
    <w:rsid w:val="13FF6618"/>
    <w:rsid w:val="14287802"/>
    <w:rsid w:val="14510BA6"/>
    <w:rsid w:val="14603F28"/>
    <w:rsid w:val="146354FD"/>
    <w:rsid w:val="149E4339"/>
    <w:rsid w:val="14CB7C52"/>
    <w:rsid w:val="14E94D9C"/>
    <w:rsid w:val="158E7E44"/>
    <w:rsid w:val="15CF287D"/>
    <w:rsid w:val="15ED44C2"/>
    <w:rsid w:val="161A3B4F"/>
    <w:rsid w:val="16424436"/>
    <w:rsid w:val="16431650"/>
    <w:rsid w:val="16C12DFE"/>
    <w:rsid w:val="16D34A53"/>
    <w:rsid w:val="1700085B"/>
    <w:rsid w:val="1744507F"/>
    <w:rsid w:val="175F5C40"/>
    <w:rsid w:val="17791C41"/>
    <w:rsid w:val="17CF7053"/>
    <w:rsid w:val="17DD217F"/>
    <w:rsid w:val="18130D9D"/>
    <w:rsid w:val="18485B9A"/>
    <w:rsid w:val="192B2CC4"/>
    <w:rsid w:val="19C932B6"/>
    <w:rsid w:val="19E30828"/>
    <w:rsid w:val="1A5255EA"/>
    <w:rsid w:val="1AC90C8B"/>
    <w:rsid w:val="1B081AAC"/>
    <w:rsid w:val="1B1644A1"/>
    <w:rsid w:val="1B5015DA"/>
    <w:rsid w:val="1B9D0D7A"/>
    <w:rsid w:val="1BDB6F5E"/>
    <w:rsid w:val="1C6E046B"/>
    <w:rsid w:val="1C706A45"/>
    <w:rsid w:val="1D340687"/>
    <w:rsid w:val="1DB54174"/>
    <w:rsid w:val="1E2B689A"/>
    <w:rsid w:val="1E7F5D1F"/>
    <w:rsid w:val="1E842C58"/>
    <w:rsid w:val="1E8865C2"/>
    <w:rsid w:val="1EAE1EFC"/>
    <w:rsid w:val="1EF6761B"/>
    <w:rsid w:val="1F016CAD"/>
    <w:rsid w:val="1F3D3F13"/>
    <w:rsid w:val="1F5E32BF"/>
    <w:rsid w:val="1F632DA1"/>
    <w:rsid w:val="1F7053E3"/>
    <w:rsid w:val="1FBC37D3"/>
    <w:rsid w:val="1FE84CAF"/>
    <w:rsid w:val="1FF07889"/>
    <w:rsid w:val="20071C4E"/>
    <w:rsid w:val="20464D73"/>
    <w:rsid w:val="205D43E9"/>
    <w:rsid w:val="208C27F0"/>
    <w:rsid w:val="20997A75"/>
    <w:rsid w:val="211045D4"/>
    <w:rsid w:val="21642E7B"/>
    <w:rsid w:val="21965E5F"/>
    <w:rsid w:val="21994ACB"/>
    <w:rsid w:val="21BF3E9B"/>
    <w:rsid w:val="2246065B"/>
    <w:rsid w:val="224E1196"/>
    <w:rsid w:val="225459BF"/>
    <w:rsid w:val="227A0A46"/>
    <w:rsid w:val="235B6EB4"/>
    <w:rsid w:val="23A83B1A"/>
    <w:rsid w:val="23AC7819"/>
    <w:rsid w:val="23BD11EA"/>
    <w:rsid w:val="23BD65A6"/>
    <w:rsid w:val="23CE59DC"/>
    <w:rsid w:val="23DE761C"/>
    <w:rsid w:val="23E21B3B"/>
    <w:rsid w:val="23E21C4E"/>
    <w:rsid w:val="23FD6057"/>
    <w:rsid w:val="24625959"/>
    <w:rsid w:val="247058DA"/>
    <w:rsid w:val="24AE36B3"/>
    <w:rsid w:val="24CF1893"/>
    <w:rsid w:val="24FE74F2"/>
    <w:rsid w:val="250768AC"/>
    <w:rsid w:val="25315EDA"/>
    <w:rsid w:val="2563165F"/>
    <w:rsid w:val="259E41D1"/>
    <w:rsid w:val="25AB0BC2"/>
    <w:rsid w:val="26600703"/>
    <w:rsid w:val="26930344"/>
    <w:rsid w:val="26C77339"/>
    <w:rsid w:val="278957FE"/>
    <w:rsid w:val="279B384F"/>
    <w:rsid w:val="27B5293A"/>
    <w:rsid w:val="27C17BB1"/>
    <w:rsid w:val="2846151A"/>
    <w:rsid w:val="284D27E8"/>
    <w:rsid w:val="28893793"/>
    <w:rsid w:val="28A904E4"/>
    <w:rsid w:val="28F42A33"/>
    <w:rsid w:val="2929562D"/>
    <w:rsid w:val="29374942"/>
    <w:rsid w:val="299F62C3"/>
    <w:rsid w:val="2A175192"/>
    <w:rsid w:val="2A6956F3"/>
    <w:rsid w:val="2A9F304A"/>
    <w:rsid w:val="2ABE75C8"/>
    <w:rsid w:val="2B462518"/>
    <w:rsid w:val="2B573EC3"/>
    <w:rsid w:val="2B8A310F"/>
    <w:rsid w:val="2BA85580"/>
    <w:rsid w:val="2BA858AF"/>
    <w:rsid w:val="2C185891"/>
    <w:rsid w:val="2C816910"/>
    <w:rsid w:val="2C92734F"/>
    <w:rsid w:val="2C9F7A9F"/>
    <w:rsid w:val="2CA03B11"/>
    <w:rsid w:val="2CA704E8"/>
    <w:rsid w:val="2CB90A70"/>
    <w:rsid w:val="2D283647"/>
    <w:rsid w:val="2D2C1113"/>
    <w:rsid w:val="2D2F78E9"/>
    <w:rsid w:val="2DB23EAD"/>
    <w:rsid w:val="2E684495"/>
    <w:rsid w:val="2EF4761B"/>
    <w:rsid w:val="2F2F0392"/>
    <w:rsid w:val="2FA318F0"/>
    <w:rsid w:val="2FC31E94"/>
    <w:rsid w:val="2FE73A50"/>
    <w:rsid w:val="30BE3F50"/>
    <w:rsid w:val="313A5F04"/>
    <w:rsid w:val="31A326AD"/>
    <w:rsid w:val="31B70DF7"/>
    <w:rsid w:val="31D01BF2"/>
    <w:rsid w:val="32440845"/>
    <w:rsid w:val="32633D4A"/>
    <w:rsid w:val="32704E8E"/>
    <w:rsid w:val="32E06116"/>
    <w:rsid w:val="32E13316"/>
    <w:rsid w:val="3301632F"/>
    <w:rsid w:val="3302137C"/>
    <w:rsid w:val="33076D69"/>
    <w:rsid w:val="33157A8D"/>
    <w:rsid w:val="333373CC"/>
    <w:rsid w:val="336B039B"/>
    <w:rsid w:val="337E5BD8"/>
    <w:rsid w:val="33AF5DB1"/>
    <w:rsid w:val="33F9255C"/>
    <w:rsid w:val="340121F5"/>
    <w:rsid w:val="340D75AE"/>
    <w:rsid w:val="344B6252"/>
    <w:rsid w:val="3465048D"/>
    <w:rsid w:val="348F359B"/>
    <w:rsid w:val="34A623E5"/>
    <w:rsid w:val="34F33587"/>
    <w:rsid w:val="350E3341"/>
    <w:rsid w:val="351C08D6"/>
    <w:rsid w:val="353B7940"/>
    <w:rsid w:val="3547342C"/>
    <w:rsid w:val="35903E59"/>
    <w:rsid w:val="35AA0E18"/>
    <w:rsid w:val="35BB37F4"/>
    <w:rsid w:val="35FC4BAE"/>
    <w:rsid w:val="36433849"/>
    <w:rsid w:val="364A5848"/>
    <w:rsid w:val="365D339C"/>
    <w:rsid w:val="36771FD2"/>
    <w:rsid w:val="367E3075"/>
    <w:rsid w:val="368A2ACE"/>
    <w:rsid w:val="37321460"/>
    <w:rsid w:val="376A1906"/>
    <w:rsid w:val="377473F2"/>
    <w:rsid w:val="37823AA4"/>
    <w:rsid w:val="37917650"/>
    <w:rsid w:val="37C97304"/>
    <w:rsid w:val="380B5E71"/>
    <w:rsid w:val="38563E9E"/>
    <w:rsid w:val="38932D52"/>
    <w:rsid w:val="38F84B4A"/>
    <w:rsid w:val="39236D04"/>
    <w:rsid w:val="392D49BE"/>
    <w:rsid w:val="39511E7F"/>
    <w:rsid w:val="39656201"/>
    <w:rsid w:val="39835BBF"/>
    <w:rsid w:val="3A457E4C"/>
    <w:rsid w:val="3A4C1B5A"/>
    <w:rsid w:val="3A7007EE"/>
    <w:rsid w:val="3AD20E64"/>
    <w:rsid w:val="3B5B2C90"/>
    <w:rsid w:val="3B9519DF"/>
    <w:rsid w:val="3BE57419"/>
    <w:rsid w:val="3C162957"/>
    <w:rsid w:val="3CA277C0"/>
    <w:rsid w:val="3CEF30A7"/>
    <w:rsid w:val="3D040E9D"/>
    <w:rsid w:val="3D153712"/>
    <w:rsid w:val="3D205CE9"/>
    <w:rsid w:val="3D2233FB"/>
    <w:rsid w:val="3D491569"/>
    <w:rsid w:val="3D8C1654"/>
    <w:rsid w:val="3D9931DB"/>
    <w:rsid w:val="3DBD51AC"/>
    <w:rsid w:val="3DDD5D91"/>
    <w:rsid w:val="3DEE2C68"/>
    <w:rsid w:val="3E204FFC"/>
    <w:rsid w:val="3E2D678E"/>
    <w:rsid w:val="3E335F6C"/>
    <w:rsid w:val="3E407AAF"/>
    <w:rsid w:val="3E4F4BAB"/>
    <w:rsid w:val="3E851557"/>
    <w:rsid w:val="3E867C13"/>
    <w:rsid w:val="3E8F6B48"/>
    <w:rsid w:val="3F1A0084"/>
    <w:rsid w:val="3FBE4A8F"/>
    <w:rsid w:val="3FDD0FD4"/>
    <w:rsid w:val="400A5756"/>
    <w:rsid w:val="401A6ED0"/>
    <w:rsid w:val="4048170F"/>
    <w:rsid w:val="40735C87"/>
    <w:rsid w:val="40CE75B7"/>
    <w:rsid w:val="41401B50"/>
    <w:rsid w:val="416A4344"/>
    <w:rsid w:val="41DE6599"/>
    <w:rsid w:val="420E081C"/>
    <w:rsid w:val="42143C58"/>
    <w:rsid w:val="42785630"/>
    <w:rsid w:val="43293980"/>
    <w:rsid w:val="434628B6"/>
    <w:rsid w:val="439F5067"/>
    <w:rsid w:val="43ED7624"/>
    <w:rsid w:val="43FC77B9"/>
    <w:rsid w:val="44417D28"/>
    <w:rsid w:val="44DF4FDA"/>
    <w:rsid w:val="45500126"/>
    <w:rsid w:val="458A6AA5"/>
    <w:rsid w:val="45B32E6A"/>
    <w:rsid w:val="465E26CD"/>
    <w:rsid w:val="469039C8"/>
    <w:rsid w:val="46996AFD"/>
    <w:rsid w:val="46E83978"/>
    <w:rsid w:val="46FF5846"/>
    <w:rsid w:val="475B335F"/>
    <w:rsid w:val="47665A62"/>
    <w:rsid w:val="47A16031"/>
    <w:rsid w:val="47DF749A"/>
    <w:rsid w:val="47F0058F"/>
    <w:rsid w:val="47F4358E"/>
    <w:rsid w:val="48496FA0"/>
    <w:rsid w:val="48A60E57"/>
    <w:rsid w:val="48C26B85"/>
    <w:rsid w:val="48DA7951"/>
    <w:rsid w:val="491932DF"/>
    <w:rsid w:val="492C007A"/>
    <w:rsid w:val="494A7C4C"/>
    <w:rsid w:val="4A120FE1"/>
    <w:rsid w:val="4A7655C2"/>
    <w:rsid w:val="4A9D0981"/>
    <w:rsid w:val="4AE64D55"/>
    <w:rsid w:val="4B281141"/>
    <w:rsid w:val="4B904E89"/>
    <w:rsid w:val="4BB80046"/>
    <w:rsid w:val="4BC471B8"/>
    <w:rsid w:val="4BCF41D6"/>
    <w:rsid w:val="4C0E5BAD"/>
    <w:rsid w:val="4C0F6683"/>
    <w:rsid w:val="4C170B63"/>
    <w:rsid w:val="4C6843B9"/>
    <w:rsid w:val="4C77159D"/>
    <w:rsid w:val="4CAB4420"/>
    <w:rsid w:val="4CAC15F2"/>
    <w:rsid w:val="4CCE4482"/>
    <w:rsid w:val="4CE20FDD"/>
    <w:rsid w:val="4DB908E0"/>
    <w:rsid w:val="4E33263C"/>
    <w:rsid w:val="4E96120B"/>
    <w:rsid w:val="4EB21DBF"/>
    <w:rsid w:val="4EB23DF4"/>
    <w:rsid w:val="4F6C7648"/>
    <w:rsid w:val="4FBE7A50"/>
    <w:rsid w:val="50062B08"/>
    <w:rsid w:val="50233033"/>
    <w:rsid w:val="502E27B1"/>
    <w:rsid w:val="50975EFF"/>
    <w:rsid w:val="50A92825"/>
    <w:rsid w:val="50CC48E8"/>
    <w:rsid w:val="50FF23E2"/>
    <w:rsid w:val="51212F21"/>
    <w:rsid w:val="51393D64"/>
    <w:rsid w:val="51603484"/>
    <w:rsid w:val="518566CD"/>
    <w:rsid w:val="52353CEF"/>
    <w:rsid w:val="523C2582"/>
    <w:rsid w:val="52561296"/>
    <w:rsid w:val="5271353A"/>
    <w:rsid w:val="52756E32"/>
    <w:rsid w:val="52AF617F"/>
    <w:rsid w:val="5306399E"/>
    <w:rsid w:val="53653159"/>
    <w:rsid w:val="53C90C15"/>
    <w:rsid w:val="53CF76BD"/>
    <w:rsid w:val="53E64A5C"/>
    <w:rsid w:val="53F520EF"/>
    <w:rsid w:val="53F9098C"/>
    <w:rsid w:val="540B6079"/>
    <w:rsid w:val="541933E7"/>
    <w:rsid w:val="54235856"/>
    <w:rsid w:val="5445447C"/>
    <w:rsid w:val="54540E6A"/>
    <w:rsid w:val="55221270"/>
    <w:rsid w:val="55B56202"/>
    <w:rsid w:val="55D6017A"/>
    <w:rsid w:val="55EC24F6"/>
    <w:rsid w:val="565D48F8"/>
    <w:rsid w:val="565F02BC"/>
    <w:rsid w:val="566F7E44"/>
    <w:rsid w:val="567468CD"/>
    <w:rsid w:val="57063BD5"/>
    <w:rsid w:val="574D1453"/>
    <w:rsid w:val="57567DDF"/>
    <w:rsid w:val="577B3BA6"/>
    <w:rsid w:val="578A5DE4"/>
    <w:rsid w:val="57B92B69"/>
    <w:rsid w:val="57DB760F"/>
    <w:rsid w:val="57F24C5E"/>
    <w:rsid w:val="58177413"/>
    <w:rsid w:val="58353099"/>
    <w:rsid w:val="586B1645"/>
    <w:rsid w:val="58797990"/>
    <w:rsid w:val="598153AA"/>
    <w:rsid w:val="59AB3818"/>
    <w:rsid w:val="59AD4F06"/>
    <w:rsid w:val="59EA4C93"/>
    <w:rsid w:val="5A594CC3"/>
    <w:rsid w:val="5AD44461"/>
    <w:rsid w:val="5BDB6A45"/>
    <w:rsid w:val="5BDC705A"/>
    <w:rsid w:val="5C600A0B"/>
    <w:rsid w:val="5C784816"/>
    <w:rsid w:val="5D5340D1"/>
    <w:rsid w:val="5D691CBB"/>
    <w:rsid w:val="5DB74F9B"/>
    <w:rsid w:val="5DBC50D1"/>
    <w:rsid w:val="5DC76A50"/>
    <w:rsid w:val="5E34064E"/>
    <w:rsid w:val="5E7A4240"/>
    <w:rsid w:val="5F1F1FFD"/>
    <w:rsid w:val="5F4A0338"/>
    <w:rsid w:val="5F4B6306"/>
    <w:rsid w:val="5F813FB4"/>
    <w:rsid w:val="60157F0E"/>
    <w:rsid w:val="602729FA"/>
    <w:rsid w:val="60C522F4"/>
    <w:rsid w:val="60F67612"/>
    <w:rsid w:val="610F77FA"/>
    <w:rsid w:val="61186932"/>
    <w:rsid w:val="613B57ED"/>
    <w:rsid w:val="61490DBE"/>
    <w:rsid w:val="61E125D2"/>
    <w:rsid w:val="626112AE"/>
    <w:rsid w:val="628778FD"/>
    <w:rsid w:val="6298317C"/>
    <w:rsid w:val="62D61745"/>
    <w:rsid w:val="63F8368E"/>
    <w:rsid w:val="641F5B3D"/>
    <w:rsid w:val="64202DD0"/>
    <w:rsid w:val="64DE5FDC"/>
    <w:rsid w:val="64E01134"/>
    <w:rsid w:val="655623EB"/>
    <w:rsid w:val="65EC217F"/>
    <w:rsid w:val="66076538"/>
    <w:rsid w:val="66231CAE"/>
    <w:rsid w:val="66415F6D"/>
    <w:rsid w:val="668757D1"/>
    <w:rsid w:val="66AF11BA"/>
    <w:rsid w:val="670B2782"/>
    <w:rsid w:val="672D5701"/>
    <w:rsid w:val="67776558"/>
    <w:rsid w:val="67A46E8F"/>
    <w:rsid w:val="67E9230E"/>
    <w:rsid w:val="67EC2CFC"/>
    <w:rsid w:val="68024255"/>
    <w:rsid w:val="68103D21"/>
    <w:rsid w:val="6828706C"/>
    <w:rsid w:val="683E50DD"/>
    <w:rsid w:val="689414BE"/>
    <w:rsid w:val="68941FE7"/>
    <w:rsid w:val="68C84C8D"/>
    <w:rsid w:val="6912754D"/>
    <w:rsid w:val="69203ACC"/>
    <w:rsid w:val="69464539"/>
    <w:rsid w:val="6952043D"/>
    <w:rsid w:val="698719E7"/>
    <w:rsid w:val="699F3FEA"/>
    <w:rsid w:val="69C04ABB"/>
    <w:rsid w:val="69C56D58"/>
    <w:rsid w:val="6A1914BA"/>
    <w:rsid w:val="6A2F5934"/>
    <w:rsid w:val="6A7D6AC8"/>
    <w:rsid w:val="6ACE4D37"/>
    <w:rsid w:val="6AEC620B"/>
    <w:rsid w:val="6B045872"/>
    <w:rsid w:val="6B7A28CD"/>
    <w:rsid w:val="6BD01383"/>
    <w:rsid w:val="6C3267F7"/>
    <w:rsid w:val="6C50402F"/>
    <w:rsid w:val="6C534188"/>
    <w:rsid w:val="6CDB178F"/>
    <w:rsid w:val="6D1228E7"/>
    <w:rsid w:val="6D4B40C0"/>
    <w:rsid w:val="6DDB768F"/>
    <w:rsid w:val="6E1164A3"/>
    <w:rsid w:val="6E6D6FEA"/>
    <w:rsid w:val="6EB1256B"/>
    <w:rsid w:val="6EC82FBB"/>
    <w:rsid w:val="6F715CB1"/>
    <w:rsid w:val="6FAE3061"/>
    <w:rsid w:val="6FD57A77"/>
    <w:rsid w:val="6FED1910"/>
    <w:rsid w:val="703F3DA5"/>
    <w:rsid w:val="70BD3572"/>
    <w:rsid w:val="70F2045B"/>
    <w:rsid w:val="71084330"/>
    <w:rsid w:val="710F71D0"/>
    <w:rsid w:val="71570CDF"/>
    <w:rsid w:val="71652472"/>
    <w:rsid w:val="716C015F"/>
    <w:rsid w:val="71E35062"/>
    <w:rsid w:val="720F2076"/>
    <w:rsid w:val="7253181B"/>
    <w:rsid w:val="727160C2"/>
    <w:rsid w:val="72A1250C"/>
    <w:rsid w:val="72A532A5"/>
    <w:rsid w:val="72D967C4"/>
    <w:rsid w:val="7396760B"/>
    <w:rsid w:val="73A56C56"/>
    <w:rsid w:val="73D33EF5"/>
    <w:rsid w:val="7457323E"/>
    <w:rsid w:val="746A084A"/>
    <w:rsid w:val="74966354"/>
    <w:rsid w:val="749E4112"/>
    <w:rsid w:val="74DC48C7"/>
    <w:rsid w:val="751B0501"/>
    <w:rsid w:val="752F30C8"/>
    <w:rsid w:val="755D7996"/>
    <w:rsid w:val="75626B88"/>
    <w:rsid w:val="75784475"/>
    <w:rsid w:val="75B30892"/>
    <w:rsid w:val="75B708C9"/>
    <w:rsid w:val="75DF6B89"/>
    <w:rsid w:val="763900A2"/>
    <w:rsid w:val="766C04B8"/>
    <w:rsid w:val="767E6C03"/>
    <w:rsid w:val="76C171BF"/>
    <w:rsid w:val="76D16F69"/>
    <w:rsid w:val="7744581F"/>
    <w:rsid w:val="77667C2A"/>
    <w:rsid w:val="776B49CE"/>
    <w:rsid w:val="786D6001"/>
    <w:rsid w:val="78FB6F0E"/>
    <w:rsid w:val="794569C4"/>
    <w:rsid w:val="79647B21"/>
    <w:rsid w:val="79AD03EE"/>
    <w:rsid w:val="79CE7234"/>
    <w:rsid w:val="79CF4503"/>
    <w:rsid w:val="79F37BBB"/>
    <w:rsid w:val="7ACA5FC9"/>
    <w:rsid w:val="7B54390E"/>
    <w:rsid w:val="7C020026"/>
    <w:rsid w:val="7C254D3D"/>
    <w:rsid w:val="7C57093F"/>
    <w:rsid w:val="7D392471"/>
    <w:rsid w:val="7D691A59"/>
    <w:rsid w:val="7DC96A3D"/>
    <w:rsid w:val="7E3329FD"/>
    <w:rsid w:val="7E34652C"/>
    <w:rsid w:val="7E445010"/>
    <w:rsid w:val="7E5E3BE4"/>
    <w:rsid w:val="7E7A32C5"/>
    <w:rsid w:val="7F0D1780"/>
    <w:rsid w:val="7F832F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4"/>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5">
    <w:name w:val="annotation text"/>
    <w:basedOn w:val="1"/>
    <w:link w:val="36"/>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8"/>
    <w:unhideWhenUsed/>
    <w:qFormat/>
    <w:uiPriority w:val="99"/>
    <w:pPr>
      <w:ind w:left="100" w:leftChars="2500"/>
    </w:pPr>
  </w:style>
  <w:style w:type="paragraph" w:styleId="8">
    <w:name w:val="Balloon Text"/>
    <w:basedOn w:val="1"/>
    <w:link w:val="39"/>
    <w:unhideWhenUsed/>
    <w:qFormat/>
    <w:uiPriority w:val="99"/>
    <w:rPr>
      <w:kern w:val="0"/>
      <w:sz w:val="18"/>
      <w:szCs w:val="18"/>
    </w:rPr>
  </w:style>
  <w:style w:type="paragraph" w:styleId="9">
    <w:name w:val="footer"/>
    <w:basedOn w:val="1"/>
    <w:link w:val="40"/>
    <w:unhideWhenUsed/>
    <w:qFormat/>
    <w:uiPriority w:val="99"/>
    <w:pPr>
      <w:tabs>
        <w:tab w:val="center" w:pos="4153"/>
        <w:tab w:val="right" w:pos="8306"/>
      </w:tabs>
      <w:snapToGrid w:val="0"/>
      <w:jc w:val="left"/>
    </w:pPr>
    <w:rPr>
      <w:kern w:val="0"/>
      <w:sz w:val="18"/>
      <w:szCs w:val="18"/>
    </w:rPr>
  </w:style>
  <w:style w:type="paragraph" w:styleId="10">
    <w:name w:val="header"/>
    <w:basedOn w:val="1"/>
    <w:link w:val="4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42"/>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标题 1 字符"/>
    <w:link w:val="2"/>
    <w:qFormat/>
    <w:uiPriority w:val="1"/>
    <w:rPr>
      <w:rFonts w:ascii="黑体" w:hAnsi="Times New Roman" w:eastAsia="黑体" w:cs="黑体"/>
      <w:b/>
      <w:bCs/>
      <w:kern w:val="0"/>
      <w:sz w:val="36"/>
      <w:szCs w:val="36"/>
    </w:rPr>
  </w:style>
  <w:style w:type="character" w:customStyle="1" w:styleId="23">
    <w:name w:val="标题 2 字符"/>
    <w:link w:val="3"/>
    <w:qFormat/>
    <w:uiPriority w:val="9"/>
    <w:rPr>
      <w:rFonts w:ascii="Cambria" w:hAnsi="Cambria" w:eastAsia="宋体" w:cs="Times New Roman"/>
      <w:b/>
      <w:bCs/>
      <w:sz w:val="32"/>
      <w:szCs w:val="32"/>
    </w:rPr>
  </w:style>
  <w:style w:type="character" w:customStyle="1" w:styleId="24">
    <w:name w:val="标题 3 字符"/>
    <w:link w:val="4"/>
    <w:qFormat/>
    <w:uiPriority w:val="1"/>
    <w:rPr>
      <w:rFonts w:ascii="宋体" w:hAnsi="Times New Roman" w:eastAsia="宋体" w:cs="宋体"/>
      <w:b/>
      <w:bCs/>
      <w:kern w:val="0"/>
      <w:szCs w:val="21"/>
    </w:rPr>
  </w:style>
  <w:style w:type="character" w:customStyle="1" w:styleId="25">
    <w:name w:val="批注文字 字符"/>
    <w:link w:val="5"/>
    <w:qFormat/>
    <w:uiPriority w:val="99"/>
    <w:rPr>
      <w:kern w:val="2"/>
      <w:sz w:val="21"/>
      <w:szCs w:val="22"/>
    </w:rPr>
  </w:style>
  <w:style w:type="character" w:customStyle="1" w:styleId="26">
    <w:name w:val="正文文本 字符"/>
    <w:link w:val="6"/>
    <w:qFormat/>
    <w:uiPriority w:val="1"/>
    <w:rPr>
      <w:rFonts w:ascii="宋体" w:hAnsi="Times New Roman" w:eastAsia="宋体" w:cs="宋体"/>
      <w:kern w:val="0"/>
      <w:szCs w:val="21"/>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标题 1 Char"/>
    <w:link w:val="2"/>
    <w:qFormat/>
    <w:uiPriority w:val="1"/>
    <w:rPr>
      <w:rFonts w:ascii="黑体" w:hAnsi="Times New Roman" w:eastAsia="黑体" w:cs="黑体"/>
      <w:b/>
      <w:bCs/>
      <w:kern w:val="0"/>
      <w:sz w:val="36"/>
      <w:szCs w:val="36"/>
    </w:rPr>
  </w:style>
  <w:style w:type="character" w:customStyle="1" w:styleId="34">
    <w:name w:val="标题 2 Char"/>
    <w:link w:val="3"/>
    <w:qFormat/>
    <w:uiPriority w:val="9"/>
    <w:rPr>
      <w:rFonts w:ascii="Cambria" w:hAnsi="Cambria" w:eastAsia="宋体" w:cs="Times New Roman"/>
      <w:b/>
      <w:bCs/>
      <w:sz w:val="32"/>
      <w:szCs w:val="32"/>
    </w:rPr>
  </w:style>
  <w:style w:type="character" w:customStyle="1" w:styleId="35">
    <w:name w:val="标题 3 Char"/>
    <w:link w:val="4"/>
    <w:qFormat/>
    <w:uiPriority w:val="1"/>
    <w:rPr>
      <w:rFonts w:ascii="宋体" w:hAnsi="Times New Roman" w:eastAsia="宋体" w:cs="宋体"/>
      <w:b/>
      <w:bCs/>
      <w:kern w:val="0"/>
      <w:szCs w:val="21"/>
    </w:rPr>
  </w:style>
  <w:style w:type="character" w:customStyle="1" w:styleId="36">
    <w:name w:val="批注文字 Char"/>
    <w:link w:val="5"/>
    <w:qFormat/>
    <w:uiPriority w:val="99"/>
    <w:rPr>
      <w:rFonts w:ascii="Times New Roman" w:hAnsi="Times New Roman" w:eastAsia="宋体" w:cs="Times New Roman"/>
      <w:kern w:val="2"/>
      <w:sz w:val="21"/>
      <w:szCs w:val="22"/>
    </w:rPr>
  </w:style>
  <w:style w:type="character" w:customStyle="1" w:styleId="37">
    <w:name w:val="正文文本 Char"/>
    <w:link w:val="6"/>
    <w:qFormat/>
    <w:uiPriority w:val="1"/>
    <w:rPr>
      <w:rFonts w:ascii="宋体" w:hAnsi="Times New Roman" w:eastAsia="宋体" w:cs="宋体"/>
      <w:kern w:val="0"/>
      <w:szCs w:val="21"/>
    </w:rPr>
  </w:style>
  <w:style w:type="character" w:customStyle="1" w:styleId="38">
    <w:name w:val="日期 Char"/>
    <w:basedOn w:val="17"/>
    <w:link w:val="7"/>
    <w:semiHidden/>
    <w:qFormat/>
    <w:uiPriority w:val="99"/>
    <w:rPr>
      <w:rFonts w:ascii="Times New Roman" w:hAnsi="Times New Roman" w:eastAsia="宋体" w:cs="Times New Roman"/>
    </w:rPr>
  </w:style>
  <w:style w:type="character" w:customStyle="1" w:styleId="39">
    <w:name w:val="批注框文本 Char"/>
    <w:link w:val="8"/>
    <w:semiHidden/>
    <w:qFormat/>
    <w:uiPriority w:val="99"/>
    <w:rPr>
      <w:rFonts w:ascii="Times New Roman" w:hAnsi="Times New Roman" w:eastAsia="宋体" w:cs="Times New Roman"/>
      <w:sz w:val="18"/>
      <w:szCs w:val="18"/>
    </w:rPr>
  </w:style>
  <w:style w:type="character" w:customStyle="1" w:styleId="40">
    <w:name w:val="页脚 Char"/>
    <w:link w:val="9"/>
    <w:qFormat/>
    <w:uiPriority w:val="99"/>
    <w:rPr>
      <w:rFonts w:ascii="Times New Roman" w:hAnsi="Times New Roman" w:eastAsia="宋体" w:cs="Times New Roman"/>
      <w:sz w:val="18"/>
      <w:szCs w:val="18"/>
    </w:rPr>
  </w:style>
  <w:style w:type="character" w:customStyle="1" w:styleId="41">
    <w:name w:val="页眉 Char"/>
    <w:link w:val="10"/>
    <w:qFormat/>
    <w:uiPriority w:val="99"/>
    <w:rPr>
      <w:rFonts w:ascii="Times New Roman" w:hAnsi="Times New Roman" w:eastAsia="宋体" w:cs="Times New Roman"/>
      <w:sz w:val="18"/>
      <w:szCs w:val="18"/>
    </w:rPr>
  </w:style>
  <w:style w:type="character" w:customStyle="1" w:styleId="42">
    <w:name w:val="批注主题 Char"/>
    <w:link w:val="14"/>
    <w:semiHidden/>
    <w:qFormat/>
    <w:uiPriority w:val="99"/>
    <w:rPr>
      <w:rFonts w:ascii="Times New Roman" w:hAnsi="Times New Roman" w:eastAsia="宋体" w:cs="Times New Roman"/>
      <w:b/>
      <w:bCs/>
      <w:kern w:val="2"/>
      <w:sz w:val="21"/>
      <w:szCs w:val="22"/>
    </w:rPr>
  </w:style>
  <w:style w:type="character" w:customStyle="1" w:styleId="43">
    <w:name w:val="脚注文本 字符"/>
    <w:semiHidden/>
    <w:qFormat/>
    <w:uiPriority w:val="99"/>
    <w:rPr>
      <w:kern w:val="2"/>
      <w:sz w:val="18"/>
      <w:szCs w:val="18"/>
    </w:rPr>
  </w:style>
  <w:style w:type="paragraph" w:styleId="44">
    <w:name w:val="List Paragraph"/>
    <w:basedOn w:val="1"/>
    <w:qFormat/>
    <w:uiPriority w:val="72"/>
    <w:pPr>
      <w:ind w:firstLine="420" w:firstLineChars="200"/>
    </w:pPr>
  </w:style>
  <w:style w:type="paragraph" w:customStyle="1" w:styleId="45">
    <w:name w:val="_Style 43"/>
    <w:semiHidden/>
    <w:qFormat/>
    <w:uiPriority w:val="99"/>
    <w:rPr>
      <w:rFonts w:ascii="Times New Roman" w:hAnsi="Times New Roman" w:eastAsia="宋体" w:cs="Times New Roman"/>
      <w:kern w:val="2"/>
      <w:sz w:val="21"/>
      <w:szCs w:val="22"/>
      <w:lang w:val="en-US" w:eastAsia="zh-CN" w:bidi="ar-SA"/>
    </w:rPr>
  </w:style>
  <w:style w:type="paragraph" w:customStyle="1" w:styleId="46">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4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24736</Words>
  <Characters>26282</Characters>
  <Lines>41</Lines>
  <Paragraphs>11</Paragraphs>
  <TotalTime>1</TotalTime>
  <ScaleCrop>false</ScaleCrop>
  <LinksUpToDate>false</LinksUpToDate>
  <CharactersWithSpaces>26285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2025-08-18T07:00:38Z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BAFB70B849CB4C8EB840584AFE7C8941</vt:lpwstr>
  </property>
</Properties>
</file>