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bookmarkStart w:id="0" w:name="_GoBack"/>
      <w:bookmarkEnd w:id="0"/>
      <w:r>
        <w:rPr>
          <w:rFonts w:hint="eastAsia" w:ascii="楷体" w:hAnsi="楷体" w:eastAsia="楷体"/>
          <w:b/>
          <w:color w:val="auto"/>
          <w:sz w:val="28"/>
          <w:szCs w:val="28"/>
        </w:rPr>
        <w:t>“苏银理财</w:t>
      </w:r>
      <w:r>
        <w:rPr>
          <w:rFonts w:hint="eastAsia" w:ascii="楷体" w:hAnsi="楷体" w:eastAsia="楷体"/>
          <w:b/>
          <w:color w:val="auto"/>
          <w:sz w:val="28"/>
          <w:szCs w:val="28"/>
          <w:lang w:eastAsia="zh-CN"/>
        </w:rPr>
        <w:t>恒源封闭债权221期优选2年</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default" w:ascii="Calibri" w:hAnsi="Calibri" w:eastAsia="楷体" w:cs="Calibri"/>
          <w:color w:val="auto"/>
          <w:sz w:val="21"/>
          <w:szCs w:val="21"/>
        </w:rPr>
        <w:t>①</w:t>
      </w:r>
      <w:r>
        <w:rPr>
          <w:rFonts w:hint="eastAsia" w:ascii="楷体" w:hAnsi="楷体" w:eastAsia="楷体"/>
          <w:color w:val="auto"/>
          <w:sz w:val="21"/>
          <w:szCs w:val="21"/>
        </w:rPr>
        <w:t>市场平均利率水平变化导致债券价格变化的风险。</w:t>
      </w:r>
      <w:r>
        <w:rPr>
          <w:rFonts w:hint="default" w:ascii="Calibri" w:hAnsi="Calibri" w:eastAsia="楷体" w:cs="Calibri"/>
          <w:color w:val="auto"/>
          <w:sz w:val="21"/>
          <w:szCs w:val="21"/>
        </w:rPr>
        <w:t>②</w:t>
      </w:r>
      <w:r>
        <w:rPr>
          <w:rFonts w:hint="eastAsia" w:ascii="楷体" w:hAnsi="楷体" w:eastAsia="楷体"/>
          <w:color w:val="auto"/>
          <w:sz w:val="21"/>
          <w:szCs w:val="21"/>
        </w:rPr>
        <w:t>债券市场不同期限、不同类别债券之间的利差变动导致相应期限和类别债券价格变化的风险。</w:t>
      </w:r>
      <w:r>
        <w:rPr>
          <w:rFonts w:hint="default" w:ascii="Calibri" w:hAnsi="Calibri" w:eastAsia="楷体" w:cs="Calibri"/>
          <w:color w:val="auto"/>
          <w:sz w:val="21"/>
          <w:szCs w:val="21"/>
        </w:rPr>
        <w:t>③</w:t>
      </w:r>
      <w:r>
        <w:rPr>
          <w:rFonts w:hint="eastAsia" w:ascii="楷体" w:hAnsi="楷体" w:eastAsia="楷体"/>
          <w:color w:val="auto"/>
          <w:sz w:val="21"/>
          <w:szCs w:val="21"/>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r>
        <w:rPr>
          <w:rFonts w:hint="eastAsia" w:ascii="楷体" w:hAnsi="楷体" w:eastAsia="楷体" w:cs="楷体"/>
          <w:color w:val="auto"/>
          <w:sz w:val="21"/>
          <w:szCs w:val="21"/>
        </w:rPr>
        <w:t>④</w:t>
      </w:r>
      <w:r>
        <w:rPr>
          <w:rFonts w:hint="eastAsia" w:ascii="楷体" w:hAnsi="楷体" w:eastAsia="楷体"/>
          <w:color w:val="auto"/>
          <w:sz w:val="21"/>
          <w:szCs w:val="21"/>
        </w:rPr>
        <w:t>债券发行人、担保人出现违约拒绝支付到期本息，或由于债券发行人、担保人信用质量降低导致债券价格下降及无法收回投资收益的风险。</w:t>
      </w:r>
      <w:r>
        <w:rPr>
          <w:rFonts w:hint="eastAsia" w:ascii="楷体" w:hAnsi="楷体" w:eastAsia="楷体" w:cs="楷体"/>
          <w:color w:val="auto"/>
          <w:sz w:val="21"/>
          <w:szCs w:val="21"/>
        </w:rPr>
        <w:t>⑤</w:t>
      </w:r>
      <w:r>
        <w:rPr>
          <w:rFonts w:hint="eastAsia" w:ascii="楷体" w:hAnsi="楷体" w:eastAsia="楷体"/>
          <w:color w:val="auto"/>
          <w:sz w:val="21"/>
          <w:szCs w:val="21"/>
        </w:rPr>
        <w:t>与信用等级较高的债券相比，投资于信用等级较低的债券将因为发行主体的偿还债务能力略低、受不利经济环境的影响更大以及违约风险更高等原因而面临更大的投资风险。</w:t>
      </w:r>
      <w:r>
        <w:rPr>
          <w:rFonts w:hint="eastAsia" w:ascii="楷体" w:hAnsi="楷体" w:eastAsia="楷体" w:cs="楷体"/>
          <w:color w:val="auto"/>
          <w:sz w:val="21"/>
          <w:szCs w:val="21"/>
        </w:rPr>
        <w:t>⑥</w:t>
      </w:r>
      <w:r>
        <w:rPr>
          <w:rFonts w:hint="eastAsia" w:ascii="楷体" w:hAnsi="楷体" w:eastAsia="楷体"/>
          <w:color w:val="auto"/>
          <w:sz w:val="21"/>
          <w:szCs w:val="21"/>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b/>
          <w:bCs w:val="0"/>
          <w:color w:val="auto"/>
          <w:sz w:val="21"/>
          <w:szCs w:val="21"/>
        </w:rPr>
      </w:pPr>
      <w:r>
        <w:rPr>
          <w:rFonts w:hint="default" w:ascii="Calibri" w:hAnsi="Calibri" w:eastAsia="楷体" w:cs="Calibri"/>
          <w:b/>
          <w:bCs w:val="0"/>
          <w:color w:val="auto"/>
          <w:sz w:val="21"/>
          <w:szCs w:val="21"/>
        </w:rPr>
        <w:t>①</w:t>
      </w:r>
      <w:r>
        <w:rPr>
          <w:rFonts w:hint="eastAsia" w:ascii="楷体" w:hAnsi="楷体" w:eastAsia="楷体"/>
          <w:b/>
          <w:bCs w:val="0"/>
          <w:color w:val="auto"/>
          <w:sz w:val="21"/>
          <w:szCs w:val="21"/>
        </w:rPr>
        <w:t>融资方还款履约能力可能的变化导致的信用风险。</w:t>
      </w:r>
      <w:r>
        <w:rPr>
          <w:rFonts w:hint="default" w:ascii="Calibri" w:hAnsi="Calibri" w:eastAsia="楷体" w:cs="Calibri"/>
          <w:b/>
          <w:bCs w:val="0"/>
          <w:color w:val="auto"/>
          <w:sz w:val="21"/>
          <w:szCs w:val="21"/>
        </w:rPr>
        <w:t>②</w:t>
      </w:r>
      <w:r>
        <w:rPr>
          <w:rFonts w:hint="eastAsia" w:ascii="楷体" w:hAnsi="楷体" w:eastAsia="楷体"/>
          <w:b/>
          <w:bCs w:val="0"/>
          <w:color w:val="auto"/>
          <w:sz w:val="21"/>
          <w:szCs w:val="21"/>
        </w:rPr>
        <w:t>债务人提前还款或逾期还款的风险。</w:t>
      </w:r>
      <w:r>
        <w:rPr>
          <w:rFonts w:hint="default" w:ascii="Calibri" w:hAnsi="Calibri" w:eastAsia="楷体" w:cs="Calibri"/>
          <w:b/>
          <w:bCs w:val="0"/>
          <w:color w:val="auto"/>
          <w:sz w:val="21"/>
          <w:szCs w:val="21"/>
        </w:rPr>
        <w:t>③</w:t>
      </w:r>
      <w:r>
        <w:rPr>
          <w:rFonts w:hint="eastAsia" w:ascii="楷体" w:hAnsi="楷体" w:eastAsia="楷体"/>
          <w:b/>
          <w:bCs w:val="0"/>
          <w:color w:val="auto"/>
          <w:sz w:val="21"/>
          <w:szCs w:val="21"/>
        </w:rPr>
        <w:t>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olor w:val="auto"/>
          <w:sz w:val="21"/>
          <w:szCs w:val="21"/>
        </w:rPr>
      </w:pPr>
      <w:r>
        <w:rPr>
          <w:rFonts w:hint="eastAsia" w:ascii="楷体" w:hAnsi="楷体" w:eastAsia="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固定收益类、公募、封闭式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pStyle w:val="13"/>
        <w:spacing w:before="0" w:beforeAutospacing="0" w:after="0" w:afterAutospacing="0" w:line="360" w:lineRule="auto"/>
        <w:jc w:val="right"/>
        <w:rPr>
          <w:rFonts w:ascii="楷体" w:hAnsi="楷体" w:eastAsia="楷体"/>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r>
        <w:rPr>
          <w:rFonts w:hint="eastAsia" w:ascii="楷体" w:hAnsi="楷体" w:eastAsia="楷体"/>
          <w:b/>
          <w:sz w:val="36"/>
          <w:szCs w:val="36"/>
        </w:rPr>
        <w:t xml:space="preserve"> </w:t>
      </w:r>
    </w:p>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1312;mso-width-relative:page;mso-height-relative:page;" filled="f" o:preferrelative="t" stroked="f" coordsize="21600,21600">
          <v:path/>
          <v:fill on="f" focussize="0,0"/>
          <v:stroke on="f" joinstyle="miter"/>
          <v:imagedata r:id="rId1" o:title="苏银理财"/>
          <o:lock v:ext="edit" aspectratio="t"/>
          <w10:wrap type="square"/>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236D"/>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0</TotalTime>
  <ScaleCrop>false</ScaleCrop>
  <LinksUpToDate>false</LinksUpToDate>
  <CharactersWithSpaces>22805</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Lenovo</cp:lastModifiedBy>
  <cp:lastPrinted>2024-07-15T08:58:00Z</cp:lastPrinted>
  <dcterms:modified xsi:type="dcterms:W3CDTF">2025-08-18T07:24:57Z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3D9DA4FEC1AC4898A5CD8A2776F83D6F</vt:lpwstr>
  </property>
</Properties>
</file>