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10"/>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10"/>
          <w:rFonts w:ascii="黑体" w:hAnsi="黑体" w:eastAsia="黑体" w:cs="宋体"/>
          <w:sz w:val="44"/>
          <w:szCs w:val="44"/>
        </w:rPr>
      </w:pPr>
      <w:r>
        <w:rPr>
          <w:rStyle w:val="10"/>
          <w:rFonts w:hint="eastAsia" w:ascii="黑体" w:hAnsi="黑体" w:eastAsia="黑体" w:cs="宋体"/>
          <w:sz w:val="44"/>
          <w:szCs w:val="44"/>
        </w:rPr>
        <w:t>兴银理财【添利】理财产品</w:t>
      </w:r>
    </w:p>
    <w:p>
      <w:pPr>
        <w:adjustRightInd w:val="0"/>
        <w:spacing w:line="360" w:lineRule="auto"/>
        <w:jc w:val="center"/>
        <w:rPr>
          <w:rStyle w:val="10"/>
          <w:rFonts w:ascii="黑体" w:hAnsi="黑体" w:eastAsia="黑体" w:cs="宋体"/>
          <w:sz w:val="44"/>
          <w:szCs w:val="44"/>
        </w:rPr>
      </w:pPr>
      <w:r>
        <w:rPr>
          <w:rStyle w:val="10"/>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10"/>
          <w:rFonts w:ascii="宋体" w:hAnsi="宋体"/>
          <w:sz w:val="28"/>
          <w:szCs w:val="28"/>
        </w:rPr>
      </w:pPr>
      <w:bookmarkStart w:id="0" w:name="_Toc123112263"/>
      <w:bookmarkStart w:id="1" w:name="_Toc139992301"/>
      <w:bookmarkStart w:id="2" w:name="_Toc123701383"/>
      <w:bookmarkStart w:id="3" w:name="_Toc139991726"/>
      <w:bookmarkStart w:id="4" w:name="_Toc123112224"/>
      <w:r>
        <w:rPr>
          <w:rStyle w:val="10"/>
          <w:rFonts w:hint="eastAsia" w:ascii="宋体" w:hAnsi="宋体"/>
          <w:sz w:val="28"/>
          <w:szCs w:val="28"/>
        </w:rPr>
        <w:t>理财产品管理人：</w:t>
      </w:r>
      <w:bookmarkEnd w:id="0"/>
      <w:bookmarkEnd w:id="1"/>
      <w:bookmarkEnd w:id="2"/>
      <w:bookmarkEnd w:id="3"/>
      <w:bookmarkEnd w:id="4"/>
      <w:r>
        <w:rPr>
          <w:rStyle w:val="10"/>
          <w:rFonts w:hint="eastAsia" w:ascii="宋体" w:hAnsi="宋体"/>
          <w:sz w:val="28"/>
          <w:szCs w:val="28"/>
        </w:rPr>
        <w:t>兴银理财有限责任公司</w:t>
      </w:r>
    </w:p>
    <w:p>
      <w:pPr>
        <w:adjustRightInd w:val="0"/>
        <w:spacing w:line="360" w:lineRule="auto"/>
        <w:jc w:val="center"/>
        <w:rPr>
          <w:rStyle w:val="10"/>
          <w:rFonts w:ascii="黑体" w:hAnsi="黑体" w:eastAsia="黑体" w:cs="宋体"/>
          <w:sz w:val="28"/>
          <w:szCs w:val="28"/>
        </w:rPr>
      </w:pPr>
      <w:bookmarkStart w:id="5" w:name="_Toc139991727"/>
      <w:bookmarkStart w:id="6" w:name="_Toc123701384"/>
      <w:bookmarkStart w:id="7" w:name="_Toc139992302"/>
      <w:bookmarkStart w:id="8" w:name="_Toc123112225"/>
      <w:bookmarkStart w:id="9" w:name="_Toc123112264"/>
    </w:p>
    <w:bookmarkEnd w:id="5"/>
    <w:bookmarkEnd w:id="6"/>
    <w:bookmarkEnd w:id="7"/>
    <w:bookmarkEnd w:id="8"/>
    <w:bookmarkEnd w:id="9"/>
    <w:p>
      <w:pPr>
        <w:adjustRightInd w:val="0"/>
        <w:spacing w:line="360" w:lineRule="auto"/>
        <w:jc w:val="center"/>
        <w:rPr>
          <w:rStyle w:val="10"/>
          <w:rFonts w:ascii="黑体" w:hAnsi="黑体" w:eastAsia="黑体" w:cs="宋体"/>
          <w:sz w:val="28"/>
          <w:szCs w:val="28"/>
        </w:rPr>
      </w:pPr>
    </w:p>
    <w:p>
      <w:pPr>
        <w:adjustRightInd w:val="0"/>
        <w:spacing w:line="360" w:lineRule="auto"/>
        <w:jc w:val="center"/>
        <w:rPr>
          <w:rStyle w:val="10"/>
          <w:rFonts w:ascii="宋体" w:hAnsi="宋体"/>
          <w:sz w:val="28"/>
          <w:szCs w:val="28"/>
        </w:rPr>
      </w:pPr>
      <w:r>
        <w:rPr>
          <w:rStyle w:val="10"/>
          <w:rFonts w:hint="eastAsia" w:ascii="宋体" w:hAnsi="宋体"/>
          <w:sz w:val="28"/>
          <w:szCs w:val="28"/>
        </w:rPr>
        <w:t>日期</w:t>
      </w:r>
      <w:r>
        <w:rPr>
          <w:rStyle w:val="10"/>
          <w:rFonts w:ascii="宋体" w:hAnsi="宋体"/>
          <w:sz w:val="28"/>
          <w:szCs w:val="28"/>
        </w:rPr>
        <w:t>：</w:t>
      </w:r>
      <w:r>
        <w:rPr>
          <w:rStyle w:val="10"/>
          <w:rFonts w:hint="eastAsia" w:ascii="宋体" w:hAnsi="宋体"/>
          <w:sz w:val="28"/>
          <w:szCs w:val="28"/>
        </w:rPr>
        <w:t>【</w:t>
      </w:r>
      <w:r>
        <w:rPr>
          <w:rStyle w:val="10"/>
          <w:rFonts w:hint="eastAsia" w:ascii="宋体" w:hAnsi="宋体"/>
          <w:sz w:val="28"/>
          <w:szCs w:val="28"/>
          <w:lang w:val="en-US" w:eastAsia="zh-CN"/>
        </w:rPr>
        <w:t>2025</w:t>
      </w:r>
      <w:r>
        <w:rPr>
          <w:rStyle w:val="10"/>
          <w:rFonts w:hint="eastAsia" w:ascii="宋体" w:hAnsi="宋体"/>
          <w:sz w:val="28"/>
          <w:szCs w:val="28"/>
        </w:rPr>
        <w:t>】年【</w:t>
      </w:r>
      <w:r>
        <w:rPr>
          <w:rStyle w:val="10"/>
          <w:rFonts w:hint="eastAsia" w:ascii="宋体" w:hAnsi="宋体"/>
          <w:sz w:val="28"/>
          <w:szCs w:val="28"/>
          <w:lang w:val="en-US" w:eastAsia="zh-CN"/>
        </w:rPr>
        <w:t>8</w:t>
      </w:r>
      <w:r>
        <w:rPr>
          <w:rStyle w:val="10"/>
          <w:rFonts w:hint="eastAsia" w:ascii="宋体" w:hAnsi="宋体"/>
          <w:sz w:val="28"/>
          <w:szCs w:val="28"/>
        </w:rPr>
        <w:t>】月</w:t>
      </w:r>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关于理财产品与存款产品的提示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理财产品过往业绩不代表其未来表现，不等于理财产品实际收益，投资须谨慎。</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关于理财产品不保证本金和收益的提示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关于销售文件的组成和编制的提示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1.销售文件的组成</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2.销售文件的编制</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w:t>
            </w:r>
            <w:r>
              <w:rPr>
                <w:rFonts w:hint="eastAsia" w:ascii="黑体" w:hAnsi="黑体" w:eastAsia="黑体"/>
                <w:bCs/>
                <w:sz w:val="18"/>
                <w:szCs w:val="18"/>
              </w:rPr>
              <w:t>2</w:t>
            </w:r>
            <w:r>
              <w:rPr>
                <w:rFonts w:ascii="黑体" w:hAnsi="黑体" w:eastAsia="黑体"/>
                <w:bCs/>
                <w:sz w:val="18"/>
                <w:szCs w:val="18"/>
              </w:rPr>
              <w:t>021年第</w:t>
            </w:r>
            <w:r>
              <w:rPr>
                <w:rFonts w:hint="eastAsia" w:ascii="黑体" w:hAnsi="黑体" w:eastAsia="黑体"/>
                <w:bCs/>
                <w:sz w:val="18"/>
                <w:szCs w:val="18"/>
              </w:rPr>
              <w:t>4号）第2</w:t>
            </w:r>
            <w:r>
              <w:rPr>
                <w:rFonts w:ascii="黑体" w:hAnsi="黑体" w:eastAsia="黑体"/>
                <w:bCs/>
                <w:sz w:val="18"/>
                <w:szCs w:val="18"/>
              </w:rPr>
              <w:t>9条规定</w:t>
            </w:r>
            <w:r>
              <w:rPr>
                <w:rFonts w:hint="eastAsia" w:ascii="黑体" w:hAnsi="黑体" w:eastAsia="黑体"/>
                <w:bCs/>
                <w:sz w:val="18"/>
                <w:szCs w:val="18"/>
              </w:rPr>
              <w:t>，本款产品销售文件在编制时，可能存在以下两种情形：</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（1）情形1：所有销售文件都由产品管理人统一编制。其中，《投资协议书》《产品说明书》《（代理）销售协议书》《风险揭示书》《投资者权益须知》等销售文件均由产品管理人统一编制。</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关于投资者适当性的提示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关于理财产品信息披露的提示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在购买本产品后，投资者应随时关注该理财产品的信息披露情况，及时获取相关信息。</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pStyle w:val="6"/>
              <w:snapToGrid w:val="0"/>
              <w:spacing w:before="0" w:beforeAutospacing="0" w:after="0" w:afterAutospacing="0" w:line="360" w:lineRule="auto"/>
              <w:jc w:val="both"/>
              <w:rPr>
                <w:bCs/>
                <w:sz w:val="32"/>
              </w:rPr>
            </w:pPr>
            <w:r>
              <w:rPr>
                <w:rFonts w:hint="eastAsia" w:ascii="黑体" w:hAnsi="黑体" w:eastAsia="黑体"/>
                <w:bCs/>
                <w:sz w:val="18"/>
                <w:szCs w:val="18"/>
              </w:rPr>
              <w:t>投资者对本理财产品及销售文件的内容有任何疑问，请向产品管理人或销售机构咨询。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112227"/>
      <w:bookmarkStart w:id="11" w:name="_Toc139991729"/>
      <w:bookmarkStart w:id="12" w:name="_Toc123112266"/>
      <w:bookmarkStart w:id="13" w:name="_Toc123701386"/>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7"/>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4"/>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4"/>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4"/>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理财产品名称</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w:t>
            </w:r>
            <w:r>
              <w:rPr>
                <w:rFonts w:hint="eastAsia" w:asciiTheme="minorEastAsia" w:hAnsiTheme="minorEastAsia"/>
                <w:sz w:val="18"/>
                <w:szCs w:val="18"/>
              </w:rPr>
              <w:t>兴银理财添利天天利</w:t>
            </w:r>
            <w:r>
              <w:rPr>
                <w:rFonts w:hint="eastAsia" w:asciiTheme="minorEastAsia" w:hAnsiTheme="minorEastAsia"/>
                <w:sz w:val="18"/>
                <w:szCs w:val="18"/>
                <w:lang w:val="en-US" w:eastAsia="zh-CN"/>
              </w:rPr>
              <w:t>43</w:t>
            </w:r>
            <w:r>
              <w:rPr>
                <w:rFonts w:hint="eastAsia" w:asciiTheme="minorEastAsia" w:hAnsiTheme="minorEastAsia"/>
                <w:sz w:val="18"/>
                <w:szCs w:val="18"/>
              </w:rPr>
              <w:t>号现金管理型理财产品</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产品销售名称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w:t>
            </w:r>
            <w:r>
              <w:rPr>
                <w:rFonts w:hint="eastAsia" w:asciiTheme="minorEastAsia" w:hAnsiTheme="minorEastAsia"/>
                <w:sz w:val="18"/>
                <w:szCs w:val="18"/>
              </w:rPr>
              <w:t>兴银添利天天利43号</w:t>
            </w:r>
            <w:r>
              <w:rPr>
                <w:rFonts w:hint="eastAsia" w:asciiTheme="minorEastAsia" w:hAnsiTheme="minorEastAsia"/>
                <w:sz w:val="18"/>
                <w:szCs w:val="18"/>
                <w:lang w:val="en-US" w:eastAsia="zh-CN"/>
              </w:rPr>
              <w:t>F</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F</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产品登记编码</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【Z7002025000137】注：投资者可依据理财产品登记编码在中国理财网查询产品信息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w:t>
            </w:r>
            <w:r>
              <w:rPr>
                <w:rFonts w:ascii="宋体" w:hAnsi="宋体"/>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r>
              <w:rPr>
                <w:rFonts w:ascii="宋体" w:hAnsi="宋体"/>
                <w:bCs/>
                <w:color w:val="000000" w:themeColor="text1"/>
                <w:sz w:val="18"/>
                <w:szCs w:val="18"/>
                <w14:textFill>
                  <w14:solidFill>
                    <w14:schemeClr w14:val="tx1"/>
                  </w14:solidFill>
                </w14:textFill>
              </w:rPr>
              <w:t>【</w:t>
            </w:r>
            <w:r>
              <w:rPr>
                <w:rFonts w:hint="eastAsia" w:ascii="宋体" w:hAnsi="宋体"/>
                <w:bCs/>
                <w:color w:val="000000" w:themeColor="text1"/>
                <w:sz w:val="18"/>
                <w:szCs w:val="18"/>
                <w14:textFill>
                  <w14:solidFill>
                    <w14:schemeClr w14:val="tx1"/>
                  </w14:solidFill>
                </w14:textFill>
              </w:rPr>
              <w:t>9TTL9430</w:t>
            </w:r>
            <w:r>
              <w:rPr>
                <w:rFonts w:ascii="宋体" w:hAnsi="宋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bCs/>
                <w:sz w:val="18"/>
                <w:szCs w:val="18"/>
              </w:rPr>
              <w:t>销售</w:t>
            </w:r>
            <w:r>
              <w:rPr>
                <w:rFonts w:ascii="宋体" w:hAnsi="宋体"/>
                <w:bCs/>
                <w:sz w:val="18"/>
                <w:szCs w:val="18"/>
              </w:rPr>
              <w:t>代码</w:t>
            </w:r>
          </w:p>
        </w:tc>
        <w:tc>
          <w:tcPr>
            <w:tcW w:w="6389" w:type="dxa"/>
            <w:gridSpan w:val="3"/>
            <w:shd w:val="solid" w:color="FFFFFF" w:fill="FFFFFF"/>
            <w:vAlign w:val="center"/>
          </w:tcPr>
          <w:p>
            <w:pPr>
              <w:spacing w:line="320" w:lineRule="exact"/>
              <w:jc w:val="left"/>
              <w:rPr>
                <w:rFonts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w:t>
            </w:r>
            <w:r>
              <w:rPr>
                <w:rFonts w:hint="eastAsia" w:ascii="宋体" w:hAnsi="宋体"/>
                <w:bCs/>
                <w:sz w:val="18"/>
                <w:szCs w:val="18"/>
              </w:rPr>
              <w:t>9TTL</w:t>
            </w:r>
            <w:r>
              <w:rPr>
                <w:rFonts w:hint="eastAsia" w:ascii="宋体" w:hAnsi="宋体"/>
                <w:bCs/>
                <w:sz w:val="18"/>
                <w:szCs w:val="18"/>
                <w:lang w:val="en-US" w:eastAsia="zh-CN"/>
              </w:rPr>
              <w:t>9</w:t>
            </w:r>
            <w:r>
              <w:rPr>
                <w:rFonts w:hint="eastAsia" w:ascii="宋体" w:hAnsi="宋体"/>
                <w:bCs/>
                <w:sz w:val="18"/>
                <w:szCs w:val="18"/>
              </w:rPr>
              <w:t>43</w:t>
            </w:r>
            <w:r>
              <w:rPr>
                <w:rFonts w:hint="eastAsia" w:ascii="宋体" w:hAnsi="宋体"/>
                <w:bCs/>
                <w:sz w:val="18"/>
                <w:szCs w:val="18"/>
                <w:lang w:val="en-US" w:eastAsia="zh-CN"/>
              </w:rPr>
              <w:t>F</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F</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4"/>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4"/>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r>
              <w:rPr>
                <w:rFonts w:ascii="宋体" w:hAnsi="宋体"/>
                <w:szCs w:val="18"/>
                <w:u w:val="single"/>
              </w:rPr>
              <w:t xml:space="preserve">　                     </w:t>
            </w:r>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11"/>
            <w:spacing w:line="360" w:lineRule="auto"/>
            <w:jc w:val="center"/>
          </w:pPr>
          <w:r>
            <w:rPr>
              <w:lang w:val="zh-CN"/>
            </w:rPr>
            <w:t>目录</w:t>
          </w:r>
        </w:p>
        <w:p>
          <w:pPr>
            <w:pStyle w:val="5"/>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5"/>
            <w:tabs>
              <w:tab w:val="right" w:leader="dot" w:pos="8306"/>
              <w:tab w:val="clear" w:pos="8296"/>
            </w:tabs>
          </w:pPr>
          <w:r>
            <w:fldChar w:fldCharType="begin"/>
          </w:r>
          <w:r>
            <w:instrText xml:space="preserve"> HYPERLINK \l "_Toc12429" </w:instrText>
          </w:r>
          <w:r>
            <w:fldChar w:fldCharType="separate"/>
          </w:r>
          <w:r>
            <w:t>第</w:t>
          </w:r>
          <w:r>
            <w:rPr>
              <w:rFonts w:hint="eastAsia"/>
            </w:rPr>
            <w:t xml:space="preserve">二条 </w:t>
          </w:r>
          <w:r>
            <w:t xml:space="preserve"> </w:t>
          </w:r>
          <w:r>
            <w:rPr>
              <w:rFonts w:hint="eastAsia"/>
            </w:rPr>
            <w:t>双方</w:t>
          </w:r>
          <w:r>
            <w:t>权利义务</w:t>
          </w:r>
          <w:r>
            <w:tab/>
          </w:r>
          <w:r>
            <w:fldChar w:fldCharType="begin"/>
          </w:r>
          <w:r>
            <w:instrText xml:space="preserve"> PAGEREF _Toc12429 \h </w:instrText>
          </w:r>
          <w:r>
            <w:fldChar w:fldCharType="separate"/>
          </w:r>
          <w:r>
            <w:t>7</w:t>
          </w:r>
          <w:r>
            <w:fldChar w:fldCharType="end"/>
          </w:r>
          <w:r>
            <w:fldChar w:fldCharType="end"/>
          </w:r>
        </w:p>
        <w:p>
          <w:pPr>
            <w:pStyle w:val="5"/>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不可抗力</w:t>
          </w:r>
          <w:r>
            <w:tab/>
          </w:r>
          <w:r>
            <w:fldChar w:fldCharType="begin"/>
          </w:r>
          <w:r>
            <w:instrText xml:space="preserve"> PAGEREF _Toc706 \h </w:instrText>
          </w:r>
          <w:r>
            <w:fldChar w:fldCharType="separate"/>
          </w:r>
          <w:r>
            <w:t>10</w:t>
          </w:r>
          <w:r>
            <w:fldChar w:fldCharType="end"/>
          </w:r>
          <w:r>
            <w:fldChar w:fldCharType="end"/>
          </w:r>
        </w:p>
        <w:p>
          <w:pPr>
            <w:pStyle w:val="5"/>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5"/>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法律适用和争议解决</w:t>
          </w:r>
          <w:r>
            <w:tab/>
          </w:r>
          <w:r>
            <w:fldChar w:fldCharType="begin"/>
          </w:r>
          <w:r>
            <w:instrText xml:space="preserve"> PAGEREF _Toc29618 \h </w:instrText>
          </w:r>
          <w:r>
            <w:fldChar w:fldCharType="separate"/>
          </w:r>
          <w:r>
            <w:t>12</w:t>
          </w:r>
          <w:r>
            <w:fldChar w:fldCharType="end"/>
          </w:r>
          <w:r>
            <w:fldChar w:fldCharType="end"/>
          </w:r>
        </w:p>
        <w:p>
          <w:pPr>
            <w:pStyle w:val="5"/>
            <w:tabs>
              <w:tab w:val="right" w:leader="dot" w:pos="8306"/>
              <w:tab w:val="clear" w:pos="8296"/>
            </w:tabs>
          </w:pPr>
          <w:r>
            <w:fldChar w:fldCharType="begin"/>
          </w:r>
          <w:r>
            <w:instrText xml:space="preserve"> HYPERLINK \l "_Toc11943" </w:instrText>
          </w:r>
          <w:r>
            <w:fldChar w:fldCharType="separate"/>
          </w:r>
          <w:r>
            <w:rPr>
              <w:rFonts w:hint="eastAsia"/>
            </w:rPr>
            <w:t xml:space="preserve">第六条 </w:t>
          </w:r>
          <w:r>
            <w:t xml:space="preserve"> 协议的签署和</w:t>
          </w:r>
          <w:r>
            <w:rPr>
              <w:rFonts w:hint="eastAsia"/>
            </w:rPr>
            <w:t>效力</w:t>
          </w:r>
          <w:r>
            <w:tab/>
          </w:r>
          <w:r>
            <w:fldChar w:fldCharType="begin"/>
          </w:r>
          <w:r>
            <w:instrText xml:space="preserve"> PAGEREF _Toc11943 \h </w:instrText>
          </w:r>
          <w:r>
            <w:fldChar w:fldCharType="separate"/>
          </w:r>
          <w:r>
            <w:t>13</w:t>
          </w:r>
          <w:r>
            <w:fldChar w:fldCharType="end"/>
          </w:r>
          <w:r>
            <w:fldChar w:fldCharType="end"/>
          </w:r>
        </w:p>
        <w:p>
          <w:pPr>
            <w:pStyle w:val="5"/>
            <w:tabs>
              <w:tab w:val="right" w:leader="dot" w:pos="8306"/>
              <w:tab w:val="clear" w:pos="8296"/>
            </w:tabs>
          </w:pPr>
          <w:r>
            <w:fldChar w:fldCharType="begin"/>
          </w:r>
          <w:r>
            <w:instrText xml:space="preserve"> HYPERLINK \l "_Toc29352" </w:instrText>
          </w:r>
          <w:r>
            <w:fldChar w:fldCharType="separate"/>
          </w:r>
          <w:r>
            <w:rPr>
              <w:rFonts w:hint="eastAsia"/>
            </w:rPr>
            <w:t xml:space="preserve">第七条 </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8727"/>
      <w:bookmarkStart w:id="15" w:name="_Toc23386"/>
      <w:bookmarkStart w:id="16" w:name="_Toc123701389"/>
      <w:bookmarkStart w:id="17" w:name="_Toc32639"/>
      <w:bookmarkStart w:id="18" w:name="_Toc29629"/>
      <w:bookmarkStart w:id="19" w:name="_Toc123112268"/>
      <w:bookmarkStart w:id="20" w:name="_Toc141703880"/>
      <w:bookmarkStart w:id="21" w:name="_Toc4867"/>
      <w:bookmarkStart w:id="22" w:name="_Toc123112229"/>
      <w:bookmarkStart w:id="23" w:name="_Toc26897"/>
      <w:bookmarkStart w:id="24" w:name="_Toc4966"/>
      <w:bookmarkStart w:id="25" w:name="_Toc30935"/>
      <w:bookmarkStart w:id="26" w:name="_Toc15517"/>
      <w:bookmarkStart w:id="27" w:name="_Toc139991730"/>
      <w:bookmarkStart w:id="28" w:name="_Toc6306"/>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2465"/>
      <w:bookmarkStart w:id="33" w:name="_Toc13020"/>
      <w:bookmarkStart w:id="34" w:name="_Toc19592"/>
      <w:bookmarkStart w:id="35" w:name="_Toc22864"/>
      <w:bookmarkStart w:id="36" w:name="_Toc15067"/>
      <w:bookmarkStart w:id="37" w:name="_Toc819"/>
      <w:bookmarkStart w:id="38" w:name="_Toc6617"/>
      <w:bookmarkStart w:id="39" w:name="_Toc21301"/>
      <w:bookmarkStart w:id="40" w:name="_Toc3224"/>
      <w:bookmarkStart w:id="41" w:name="_Toc24860"/>
      <w:bookmarkStart w:id="42" w:name="_Toc258829399"/>
      <w:r>
        <w:rPr>
          <w:rFonts w:hint="eastAsia" w:ascii="Times New Roman"/>
          <w:color w:val="auto"/>
          <w:sz w:val="30"/>
        </w:rPr>
        <w:t>前言</w:t>
      </w:r>
      <w:bookmarkEnd w:id="29"/>
    </w:p>
    <w:p>
      <w:pPr>
        <w:pStyle w:val="12"/>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号）、《商业银行理财业务监督管理办法》（银保监会令2018年第</w:t>
      </w:r>
      <w:r>
        <w:rPr>
          <w:rFonts w:ascii="宋体" w:hAnsi="宋体"/>
          <w:sz w:val="18"/>
          <w:szCs w:val="18"/>
        </w:rPr>
        <w:t>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宋体" w:hAnsi="宋体"/>
          <w:sz w:val="18"/>
          <w:szCs w:val="18"/>
        </w:rPr>
        <w:t>.订立本投资协议书的原则是平等自愿、诚实信用、充分保护投资人合法权益。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ascii="Times New Roman"/>
          <w:color w:val="auto"/>
          <w:sz w:val="30"/>
        </w:rPr>
        <w:t>第</w:t>
      </w:r>
      <w:r>
        <w:rPr>
          <w:rFonts w:hint="eastAsia" w:ascii="Times New Roman"/>
          <w:color w:val="auto"/>
          <w:sz w:val="30"/>
        </w:rPr>
        <w:t xml:space="preserve">二条 </w:t>
      </w:r>
      <w:r>
        <w:rPr>
          <w:rFonts w:ascii="Times New Roman"/>
          <w:color w:val="auto"/>
          <w:sz w:val="30"/>
        </w:rPr>
        <w:t xml:space="preserve"> </w:t>
      </w:r>
      <w:r>
        <w:rPr>
          <w:rFonts w:hint="eastAsia" w:ascii="Times New Roman"/>
          <w:color w:val="auto"/>
          <w:sz w:val="30"/>
        </w:rPr>
        <w:t>双方</w:t>
      </w:r>
      <w:r>
        <w:rPr>
          <w:rFonts w:ascii="Times New Roman"/>
          <w:color w:val="auto"/>
          <w:sz w:val="30"/>
        </w:rPr>
        <w:t>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hint="eastAsia" w:ascii="宋体" w:hAnsi="宋体"/>
          <w:sz w:val="18"/>
          <w:szCs w:val="18"/>
        </w:rPr>
        <w:t>3.</w:t>
      </w:r>
      <w:r>
        <w:rPr>
          <w:rFonts w:ascii="宋体" w:hAnsi="宋体"/>
          <w:sz w:val="18"/>
          <w:szCs w:val="18"/>
        </w:rPr>
        <w:t>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宋体" w:hAnsi="宋体"/>
          <w:sz w:val="18"/>
          <w:szCs w:val="18"/>
        </w:rPr>
        <w:t>1</w:t>
      </w:r>
      <w:r>
        <w:rPr>
          <w:rFonts w:ascii="宋体" w:hAnsi="宋体"/>
          <w:sz w:val="18"/>
          <w:szCs w:val="18"/>
        </w:rPr>
        <w:t>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733"/>
      <w:bookmarkStart w:id="48" w:name="_Toc6149"/>
      <w:bookmarkStart w:id="49" w:name="_Toc18631"/>
      <w:bookmarkStart w:id="50" w:name="_Toc20318"/>
      <w:bookmarkStart w:id="51" w:name="_Toc74065740"/>
      <w:bookmarkStart w:id="52" w:name="_Toc13288"/>
      <w:bookmarkStart w:id="53" w:name="_Toc24571"/>
      <w:bookmarkStart w:id="54" w:name="_Toc20627"/>
      <w:bookmarkStart w:id="55" w:name="_Toc545"/>
      <w:bookmarkStart w:id="56" w:name="_Toc22708"/>
      <w:bookmarkStart w:id="57" w:name="_Toc6683"/>
      <w:bookmarkStart w:id="58" w:name="_Toc258829400"/>
      <w:bookmarkStart w:id="59" w:name="_Toc233456272"/>
      <w:r>
        <w:rPr>
          <w:rFonts w:hint="eastAsia" w:ascii="Times New Roman"/>
          <w:color w:val="auto"/>
          <w:sz w:val="30"/>
        </w:rPr>
        <w:t>第三条</w:t>
      </w:r>
      <w:r>
        <w:rPr>
          <w:rFonts w:ascii="Times New Roman"/>
          <w:color w:val="auto"/>
          <w:sz w:val="30"/>
        </w:rPr>
        <w:t xml:space="preserve">  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.本协议书中涉及的相关到期日或分配日如遇节假日，将顺延至下一个工作日，由此产生的风险及损失双方当事人互不承担责任；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 xml:space="preserve">第六条 </w:t>
      </w:r>
      <w:r>
        <w:rPr>
          <w:rFonts w:ascii="Times New Roman"/>
          <w:color w:val="auto"/>
          <w:sz w:val="30"/>
        </w:rPr>
        <w:t xml:space="preserve"> 协议的签署和</w:t>
      </w:r>
      <w:r>
        <w:rPr>
          <w:rFonts w:hint="eastAsia" w:ascii="Times New Roman"/>
          <w:color w:val="auto"/>
          <w:sz w:val="30"/>
        </w:rPr>
        <w:t>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，本协议自投资者签名</w:t>
      </w:r>
      <w:r>
        <w:rPr>
          <w:rFonts w:ascii="黑体" w:hAnsi="黑体" w:eastAsia="黑体"/>
          <w:sz w:val="18"/>
          <w:szCs w:val="18"/>
        </w:rPr>
        <w:t>/盖章后则为签署。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29352"/>
      <w:bookmarkStart w:id="64" w:name="_Toc77953869"/>
      <w:r>
        <w:rPr>
          <w:rFonts w:hint="eastAsia" w:ascii="Times New Roman"/>
          <w:color w:val="auto"/>
          <w:sz w:val="30"/>
        </w:rPr>
        <w:t xml:space="preserve">第七条 </w:t>
      </w:r>
      <w:r>
        <w:rPr>
          <w:rFonts w:ascii="Times New Roman"/>
          <w:color w:val="auto"/>
          <w:sz w:val="30"/>
        </w:rPr>
        <w:t xml:space="preserve"> </w:t>
      </w:r>
      <w:r>
        <w:rPr>
          <w:rFonts w:hint="eastAsia" w:ascii="Times New Roman"/>
          <w:color w:val="auto"/>
          <w:sz w:val="30"/>
        </w:rPr>
        <w:t>消费者权益保护</w:t>
      </w:r>
      <w:bookmarkEnd w:id="63"/>
      <w:bookmarkEnd w:id="64"/>
      <w:r>
        <w:rPr>
          <w:rFonts w:hint="eastAsia"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hint="eastAsia"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 xml:space="preserve">销售机构的联络方式，具体以《（代理）销售协议书》《投资者权益须知》等销售文件的内容为准。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8"/>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r>
              <w:rPr>
                <w:rFonts w:hint="eastAsia" w:ascii="宋体" w:hAnsi="宋体" w:cs="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r>
              <w:rPr>
                <w:rFonts w:hint="eastAsia" w:ascii="宋体" w:hAnsi="宋体" w:cs="宋体"/>
                <w:sz w:val="18"/>
                <w:szCs w:val="18"/>
              </w:rPr>
              <w:t>【】类</w:t>
            </w:r>
            <w:r>
              <w:rPr>
                <w:rFonts w:ascii="宋体" w:hAnsi="宋体" w:cs="宋体"/>
                <w:sz w:val="18"/>
                <w:szCs w:val="18"/>
              </w:rPr>
              <w:t>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u w:val="single"/>
              </w:rPr>
              <w:t xml:space="preserve">      </w:t>
            </w:r>
            <w:r>
              <w:rPr>
                <w:rFonts w:hint="eastAsia" w:ascii="宋体" w:hAnsi="宋体"/>
                <w:bCs/>
                <w:sz w:val="18"/>
                <w:szCs w:val="18"/>
              </w:rPr>
              <w:t>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u w:val="single"/>
              </w:rPr>
              <w:t xml:space="preserve">     </w:t>
            </w:r>
            <w:r>
              <w:rPr>
                <w:rFonts w:hint="eastAsia" w:ascii="宋体" w:hAnsi="宋体"/>
                <w:bCs/>
                <w:sz w:val="18"/>
                <w:szCs w:val="18"/>
              </w:rPr>
              <w:t>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rPr>
                <w:rFonts w:ascii="宋体" w:hAnsi="宋体"/>
                <w:bCs/>
                <w:sz w:val="18"/>
                <w:szCs w:val="18"/>
              </w:rPr>
            </w:pPr>
            <w:r>
              <w:rPr>
                <w:rFonts w:ascii="宋体" w:hAnsi="宋体"/>
                <w:bCs/>
                <w:sz w:val="18"/>
                <w:szCs w:val="18"/>
              </w:rPr>
              <w:t>份额：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u w:val="single"/>
              </w:rPr>
              <w:t xml:space="preserve">        </w:t>
            </w:r>
            <w:r>
              <w:rPr>
                <w:rFonts w:hint="eastAsia" w:ascii="宋体" w:hAnsi="宋体"/>
                <w:bCs/>
                <w:sz w:val="18"/>
                <w:szCs w:val="18"/>
              </w:rPr>
              <w:t>份。</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r>
              <w:rPr>
                <w:rFonts w:hint="eastAsia" w:asciiTheme="minorEastAsia" w:hAnsiTheme="minorEastAsia"/>
                <w:sz w:val="18"/>
                <w:szCs w:val="18"/>
              </w:rPr>
              <w:t xml:space="preserve">【 </w:t>
            </w:r>
            <w:r>
              <w:rPr>
                <w:rFonts w:asciiTheme="minorEastAsia" w:hAnsiTheme="minorEastAsia"/>
                <w:sz w:val="18"/>
                <w:szCs w:val="18"/>
              </w:rPr>
              <w:t>】年</w:t>
            </w:r>
            <w:r>
              <w:rPr>
                <w:rFonts w:hint="eastAsia" w:asciiTheme="minorEastAsia" w:hAnsiTheme="minorEastAsia"/>
                <w:sz w:val="18"/>
                <w:szCs w:val="18"/>
              </w:rPr>
              <w:t>【 】月【 】日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w:t>
            </w:r>
            <w:r>
              <w:rPr>
                <w:rFonts w:ascii="黑体" w:hAnsi="黑体" w:eastAsia="黑体"/>
                <w:sz w:val="18"/>
                <w:szCs w:val="18"/>
              </w:rPr>
              <w:t>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w:t>
            </w:r>
            <w:r>
              <w:rPr>
                <w:rFonts w:ascii="黑体" w:hAnsi="黑体" w:eastAsia="黑体"/>
                <w:sz w:val="18"/>
                <w:szCs w:val="18"/>
              </w:rPr>
              <w:t>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3.投资者</w:t>
            </w:r>
            <w:r>
              <w:rPr>
                <w:rFonts w:ascii="黑体" w:hAnsi="黑体" w:eastAsia="黑体"/>
                <w:sz w:val="18"/>
                <w:szCs w:val="18"/>
              </w:rPr>
              <w:t>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投资者法定代表人或授权代理人（签名/盖章</w:t>
            </w:r>
            <w:r>
              <w:rPr>
                <w:rFonts w:cs="Arial"/>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widowControl/>
        <w:spacing w:before="156"/>
        <w:jc w:val="center"/>
        <w:rPr>
          <w:rFonts w:ascii="黑体" w:hAnsi="黑体" w:eastAsia="黑体"/>
          <w:b/>
          <w:sz w:val="28"/>
          <w:szCs w:val="28"/>
        </w:rPr>
      </w:pPr>
      <w:r>
        <w:rPr>
          <w:rFonts w:hint="eastAsia" w:ascii="黑体" w:hAnsi="黑体" w:eastAsia="黑体"/>
          <w:b/>
          <w:sz w:val="28"/>
          <w:szCs w:val="28"/>
        </w:rPr>
        <w:t>兴银理财【</w:t>
      </w:r>
      <w:r>
        <w:rPr>
          <w:rFonts w:hint="eastAsia" w:ascii="黑体" w:hAnsi="黑体" w:eastAsia="黑体"/>
          <w:b/>
          <w:sz w:val="28"/>
          <w:szCs w:val="28"/>
          <w:lang w:val="en-US" w:eastAsia="zh-CN"/>
        </w:rPr>
        <w:t>添利</w:t>
      </w:r>
      <w:r>
        <w:rPr>
          <w:rFonts w:hint="eastAsia" w:ascii="黑体" w:hAnsi="黑体" w:eastAsia="黑体"/>
          <w:b/>
          <w:sz w:val="28"/>
          <w:szCs w:val="28"/>
        </w:rPr>
        <w:t>】理财产品</w:t>
      </w:r>
    </w:p>
    <w:p>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p>
    <w:p>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7"/>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pPr>
              <w:pStyle w:val="4"/>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pPr>
              <w:pStyle w:val="4"/>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个人投资者适用</w:t>
            </w: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姓名</w:t>
            </w:r>
          </w:p>
        </w:tc>
        <w:tc>
          <w:tcPr>
            <w:tcW w:w="5061" w:type="dxa"/>
            <w:gridSpan w:val="3"/>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证件类型</w:t>
            </w:r>
          </w:p>
        </w:tc>
        <w:tc>
          <w:tcPr>
            <w:tcW w:w="1384" w:type="dxa"/>
            <w:shd w:val="solid" w:color="FFFFFF" w:fill="FFFFFF"/>
            <w:vAlign w:val="center"/>
          </w:tcPr>
          <w:p>
            <w:pPr>
              <w:spacing w:line="320" w:lineRule="exact"/>
              <w:jc w:val="left"/>
              <w:rPr>
                <w:rFonts w:ascii="宋体" w:hAnsi="宋体"/>
                <w:bCs/>
                <w:sz w:val="18"/>
                <w:szCs w:val="18"/>
              </w:rPr>
            </w:pPr>
          </w:p>
        </w:tc>
        <w:tc>
          <w:tcPr>
            <w:tcW w:w="1234"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证件号码</w:t>
            </w:r>
          </w:p>
        </w:tc>
        <w:tc>
          <w:tcPr>
            <w:tcW w:w="2443" w:type="dxa"/>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联系电话</w:t>
            </w:r>
          </w:p>
        </w:tc>
        <w:tc>
          <w:tcPr>
            <w:tcW w:w="1384" w:type="dxa"/>
            <w:shd w:val="solid" w:color="FFFFFF" w:fill="FFFFFF"/>
            <w:vAlign w:val="center"/>
          </w:tcPr>
          <w:p>
            <w:pPr>
              <w:spacing w:line="320" w:lineRule="exact"/>
              <w:jc w:val="left"/>
              <w:rPr>
                <w:rFonts w:ascii="宋体" w:hAnsi="宋体"/>
                <w:bCs/>
                <w:sz w:val="18"/>
                <w:szCs w:val="18"/>
              </w:rPr>
            </w:pPr>
          </w:p>
        </w:tc>
        <w:tc>
          <w:tcPr>
            <w:tcW w:w="1234"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电子邮箱</w:t>
            </w:r>
          </w:p>
        </w:tc>
        <w:tc>
          <w:tcPr>
            <w:tcW w:w="2443" w:type="dxa"/>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bCs/>
                <w:sz w:val="18"/>
                <w:szCs w:val="18"/>
              </w:rPr>
            </w:pPr>
            <w:r>
              <w:rPr>
                <w:rFonts w:hint="eastAsia" w:ascii="宋体" w:hAnsi="宋体"/>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pStyle w:val="4"/>
              <w:pBdr>
                <w:bottom w:val="none" w:color="auto" w:sz="0" w:space="0"/>
              </w:pBdr>
              <w:spacing w:line="320" w:lineRule="exact"/>
              <w:rPr>
                <w:rFonts w:ascii="宋体" w:hAnsi="宋体"/>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pPr>
              <w:spacing w:line="320" w:lineRule="exact"/>
              <w:jc w:val="left"/>
              <w:rPr>
                <w:rFonts w:ascii="宋体" w:hAnsi="宋体"/>
                <w:bCs/>
                <w:sz w:val="18"/>
                <w:szCs w:val="18"/>
              </w:rPr>
            </w:pPr>
            <w:r>
              <w:rPr>
                <w:rFonts w:hint="eastAsia" w:hAnsi="宋体"/>
                <w:sz w:val="18"/>
                <w:szCs w:val="18"/>
              </w:rPr>
              <w:t>★</w:t>
            </w:r>
            <w:r>
              <w:rPr>
                <w:rFonts w:hint="eastAsia" w:ascii="宋体" w:hAnsi="宋体"/>
                <w:bCs/>
                <w:sz w:val="18"/>
                <w:szCs w:val="18"/>
              </w:rPr>
              <w:t>销售性质</w:t>
            </w:r>
          </w:p>
        </w:tc>
        <w:tc>
          <w:tcPr>
            <w:tcW w:w="5061" w:type="dxa"/>
            <w:gridSpan w:val="3"/>
            <w:shd w:val="solid" w:color="FFFFFF" w:fill="FFFFFF"/>
            <w:vAlign w:val="center"/>
          </w:tcPr>
          <w:p>
            <w:pPr>
              <w:spacing w:line="320" w:lineRule="exact"/>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 直销：产品管理人销售</w:t>
            </w:r>
          </w:p>
          <w:p>
            <w:pPr>
              <w:spacing w:line="320" w:lineRule="exact"/>
              <w:jc w:val="left"/>
              <w:rPr>
                <w:rFonts w:ascii="宋体" w:hAnsi="宋体"/>
                <w:bCs/>
                <w:sz w:val="18"/>
                <w:szCs w:val="18"/>
              </w:rPr>
            </w:pPr>
            <w:r>
              <w:rPr>
                <w:rFonts w:hint="eastAsia" w:asciiTheme="majorEastAsia" w:hAnsiTheme="majorEastAsia" w:eastAsiaTheme="majorEastAsia"/>
                <w:bCs/>
                <w:sz w:val="18"/>
                <w:szCs w:val="18"/>
              </w:rPr>
              <w:t>■ 代销：代理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销售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机构名称</w:t>
            </w:r>
          </w:p>
        </w:tc>
        <w:tc>
          <w:tcPr>
            <w:tcW w:w="5061" w:type="dxa"/>
            <w:gridSpan w:val="3"/>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w:t>
            </w:r>
            <w:r>
              <w:rPr>
                <w:rFonts w:hint="eastAsia" w:ascii="宋体" w:hAnsi="宋体"/>
                <w:bCs/>
                <w:sz w:val="18"/>
                <w:szCs w:val="18"/>
                <w:lang w:val="en-US" w:eastAsia="zh-CN"/>
              </w:rPr>
              <w:t>威海银行股份有限公司</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1720" w:type="dxa"/>
            <w:gridSpan w:val="2"/>
            <w:tcBorders>
              <w:bottom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机构简介</w:t>
            </w:r>
          </w:p>
        </w:tc>
        <w:tc>
          <w:tcPr>
            <w:tcW w:w="5061" w:type="dxa"/>
            <w:gridSpan w:val="3"/>
            <w:tcBorders>
              <w:bottom w:val="single" w:color="auto" w:sz="12" w:space="0"/>
            </w:tcBorders>
            <w:shd w:val="solid" w:color="FFFFFF" w:fill="FFFFFF"/>
            <w:vAlign w:val="center"/>
          </w:tcPr>
          <w:p>
            <w:pPr>
              <w:pStyle w:val="12"/>
              <w:jc w:val="both"/>
            </w:pP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shd w:val="solid" w:color="FFFFFF" w:fill="FFFFFF"/>
            <w:vAlign w:val="center"/>
          </w:tcPr>
          <w:p>
            <w:pPr>
              <w:pStyle w:val="4"/>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pPr>
              <w:pStyle w:val="4"/>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r>
              <w:rPr>
                <w:rFonts w:ascii="宋体" w:hAnsi="宋体"/>
                <w:u w:val="single"/>
              </w:rPr>
              <w:t xml:space="preserve">　                     </w:t>
            </w:r>
            <w:r>
              <w:rPr>
                <w:rFonts w:hint="eastAsia" w:ascii="宋体" w:hAnsi="宋体"/>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pPr>
        <w:widowControl/>
        <w:spacing w:line="360" w:lineRule="auto"/>
        <w:jc w:val="left"/>
        <w:rPr>
          <w:rFonts w:ascii="黑体" w:hAnsi="黑体" w:eastAsia="黑体" w:cs="仿宋_GB2312"/>
          <w:kern w:val="0"/>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直销适用</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pPr>
        <w:widowControl/>
        <w:spacing w:line="360" w:lineRule="auto"/>
        <w:jc w:val="left"/>
        <w:rPr>
          <w:rFonts w:ascii="黑体" w:hAnsi="黑体" w:eastAsia="黑体" w:cs="仿宋_GB2312"/>
          <w:kern w:val="0"/>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代销适用</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w:t>
      </w:r>
      <w:r>
        <w:rPr>
          <w:rFonts w:hint="eastAsia" w:ascii="宋体" w:hAnsi="宋体" w:cs="仿宋_GB2312"/>
          <w:kern w:val="0"/>
          <w:sz w:val="18"/>
          <w:szCs w:val="18"/>
          <w:lang w:val="en-US" w:eastAsia="zh-CN"/>
        </w:rPr>
        <w:t>5</w:t>
      </w:r>
      <w:r>
        <w:rPr>
          <w:rFonts w:hint="eastAsia" w:ascii="宋体" w:hAnsi="宋体" w:cs="仿宋_GB2312"/>
          <w:kern w:val="0"/>
          <w:sz w:val="18"/>
          <w:szCs w:val="18"/>
        </w:rPr>
        <w:t>】个风险等级</w:t>
      </w:r>
      <w:r>
        <w:rPr>
          <w:rFonts w:ascii="宋体" w:hAnsi="宋体" w:cs="仿宋_GB2312"/>
          <w:kern w:val="0"/>
          <w:sz w:val="18"/>
          <w:szCs w:val="18"/>
        </w:rPr>
        <w:t>：</w:t>
      </w:r>
      <w:r>
        <w:rPr>
          <w:rFonts w:hint="eastAsia" w:ascii="宋体" w:hAnsi="宋体" w:cs="仿宋_GB2312"/>
          <w:kern w:val="0"/>
          <w:sz w:val="18"/>
          <w:szCs w:val="18"/>
        </w:rPr>
        <w:t>【低风险、较低风险、中等风险、较高风险、高风险】；根据投资者在乙方评估的风险承受能力，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pStyle w:val="12"/>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（1）甲方为非机构投资者时，甲方购买乙方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（2）其他类型投资者的风险承受能力评估按销售机构的以下销售政策执行：</w:t>
      </w:r>
    </w:p>
    <w:p>
      <w:pPr>
        <w:widowControl/>
        <w:spacing w:line="360" w:lineRule="auto"/>
        <w:jc w:val="left"/>
        <w:rPr>
          <w:rFonts w:asciiTheme="majorEastAsia" w:hAnsiTheme="majorEastAsia" w:eastAsiaTheme="majorEastAsia"/>
          <w:sz w:val="18"/>
          <w:szCs w:val="18"/>
        </w:rPr>
      </w:pPr>
      <w:r>
        <w:rPr>
          <w:rFonts w:hint="eastAsia" w:asciiTheme="majorEastAsia" w:hAnsiTheme="majorEastAsia" w:eastAsiaTheme="majorEastAsia"/>
          <w:sz w:val="18"/>
          <w:szCs w:val="18"/>
        </w:rPr>
        <w:sym w:font="Wingdings 2" w:char="00A3"/>
      </w:r>
      <w:r>
        <w:rPr>
          <w:rFonts w:hint="eastAsia" w:asciiTheme="majorEastAsia" w:hAnsiTheme="majorEastAsia" w:eastAsiaTheme="majorEastAsia"/>
          <w:sz w:val="18"/>
          <w:szCs w:val="18"/>
        </w:rPr>
        <w:t xml:space="preserve"> 参照本条第（1）款非机构投资者要求执行；</w:t>
      </w:r>
    </w:p>
    <w:p>
      <w:pPr>
        <w:widowControl/>
        <w:spacing w:line="360" w:lineRule="auto"/>
        <w:jc w:val="left"/>
        <w:rPr>
          <w:rFonts w:asciiTheme="majorEastAsia" w:hAnsiTheme="majorEastAsia" w:eastAsiaTheme="majorEastAsia"/>
          <w:sz w:val="18"/>
          <w:szCs w:val="18"/>
        </w:rPr>
      </w:pPr>
      <w:r>
        <w:rPr>
          <w:rFonts w:hint="eastAsia" w:asciiTheme="majorEastAsia" w:hAnsiTheme="majorEastAsia" w:eastAsiaTheme="majorEastAsia"/>
          <w:sz w:val="18"/>
          <w:szCs w:val="18"/>
        </w:rPr>
        <w:sym w:font="Wingdings 2" w:char="00A3"/>
      </w:r>
      <w:r>
        <w:rPr>
          <w:rFonts w:hint="eastAsia" w:asciiTheme="majorEastAsia" w:hAnsiTheme="majorEastAsia" w:eastAsiaTheme="majorEastAsia"/>
          <w:sz w:val="18"/>
          <w:szCs w:val="18"/>
        </w:rPr>
        <w:t xml:space="preserve"> 其他：</w:t>
      </w:r>
      <w:r>
        <w:rPr>
          <w:rFonts w:hint="eastAsia" w:asciiTheme="majorEastAsia" w:hAnsiTheme="majorEastAsia" w:eastAsiaTheme="majorEastAsia"/>
          <w:sz w:val="18"/>
          <w:szCs w:val="18"/>
          <w:u w:val="single"/>
        </w:rPr>
        <w:t xml:space="preserve">                               。</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w:t>
      </w:r>
      <w:r>
        <w:rPr>
          <w:rFonts w:hint="eastAsia" w:ascii="黑体" w:hAnsi="黑体" w:eastAsia="黑体" w:cs="仿宋_GB2312"/>
          <w:kern w:val="0"/>
          <w:sz w:val="18"/>
          <w:szCs w:val="18"/>
        </w:rPr>
        <w:t>.</w:t>
      </w:r>
      <w:r>
        <w:rPr>
          <w:rFonts w:ascii="黑体" w:hAnsi="黑体" w:eastAsia="黑体" w:cs="仿宋_GB2312"/>
          <w:kern w:val="0"/>
          <w:sz w:val="18"/>
          <w:szCs w:val="18"/>
        </w:rPr>
        <w:t>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w:t>
      </w:r>
      <w:r>
        <w:rPr>
          <w:rFonts w:hint="eastAsia" w:ascii="黑体" w:hAnsi="黑体" w:eastAsia="黑体" w:cs="仿宋_GB2312"/>
          <w:kern w:val="0"/>
          <w:sz w:val="18"/>
          <w:szCs w:val="18"/>
        </w:rPr>
        <w:t>.</w:t>
      </w:r>
      <w:r>
        <w:rPr>
          <w:rFonts w:ascii="黑体" w:hAnsi="黑体" w:eastAsia="黑体" w:cs="仿宋_GB2312"/>
          <w:kern w:val="0"/>
          <w:sz w:val="18"/>
          <w:szCs w:val="18"/>
        </w:rPr>
        <w:t>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由于国家有关法律、法规、规章、政策的改变、紧急措施的出台而导致甲方蒙受损失或协议终止的，乙方不承担责任。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w:t>
      </w:r>
      <w:r>
        <w:rPr>
          <w:rFonts w:hint="eastAsia" w:ascii="黑体" w:hAnsi="黑体" w:eastAsia="黑体" w:cs="仿宋_GB2312"/>
          <w:kern w:val="0"/>
          <w:sz w:val="18"/>
          <w:szCs w:val="18"/>
        </w:rPr>
        <w:t>.</w:t>
      </w:r>
      <w:r>
        <w:rPr>
          <w:rFonts w:ascii="黑体" w:hAnsi="黑体" w:eastAsia="黑体" w:cs="仿宋_GB2312"/>
          <w:kern w:val="0"/>
          <w:sz w:val="18"/>
          <w:szCs w:val="18"/>
        </w:rPr>
        <w:t>由于不可抗力或乙方无过错且无法防止的外因而导致的交易中断、延误等风险及损失，乙方不承担责任。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kern w:val="0"/>
          <w:sz w:val="18"/>
          <w:szCs w:val="18"/>
        </w:rPr>
        <w:t>.</w:t>
      </w:r>
      <w:r>
        <w:rPr>
          <w:rFonts w:ascii="黑体" w:hAnsi="黑体" w:eastAsia="黑体" w:cs="仿宋_GB2312"/>
          <w:kern w:val="0"/>
          <w:sz w:val="18"/>
          <w:szCs w:val="18"/>
        </w:rPr>
        <w:t>非因乙方原因（包括但不限于甲方遗失本协议、协议被盗用、交易账户被司法机关等有权部门冻结、扣划等原因）造成的损失，乙方不承担责任。</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w:t>
      </w:r>
      <w:r>
        <w:rPr>
          <w:rFonts w:ascii="宋体" w:hAnsi="宋体" w:cs="仿宋_GB2312"/>
          <w:kern w:val="0"/>
          <w:sz w:val="18"/>
          <w:szCs w:val="18"/>
        </w:rPr>
        <w:t>.</w:t>
      </w:r>
      <w:r>
        <w:rPr>
          <w:rFonts w:hint="eastAsia" w:ascii="宋体" w:hAnsi="宋体" w:cs="仿宋_GB2312"/>
          <w:kern w:val="0"/>
          <w:sz w:val="18"/>
          <w:szCs w:val="18"/>
        </w:rPr>
        <w:t>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b/>
          <w:kern w:val="0"/>
          <w:sz w:val="18"/>
          <w:szCs w:val="18"/>
        </w:rPr>
      </w:pP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甲方声明：</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1)甲方已经收到所购买乙方销售的理财产品的《投资协议书</w:t>
      </w:r>
      <w:r>
        <w:rPr>
          <w:rFonts w:hint="eastAsia" w:ascii="黑体" w:hAnsi="黑体" w:eastAsia="黑体" w:cs="仿宋_GB2312"/>
          <w:kern w:val="0"/>
          <w:sz w:val="18"/>
          <w:szCs w:val="18"/>
        </w:rPr>
        <w:t>》</w:t>
      </w:r>
      <w:r>
        <w:rPr>
          <w:rFonts w:ascii="黑体" w:hAnsi="黑体" w:eastAsia="黑体" w:cs="仿宋_GB2312"/>
          <w:kern w:val="0"/>
          <w:sz w:val="18"/>
          <w:szCs w:val="18"/>
        </w:rPr>
        <w:t>《</w:t>
      </w:r>
      <w:r>
        <w:rPr>
          <w:rFonts w:hint="eastAsia" w:ascii="黑体" w:hAnsi="黑体" w:eastAsia="黑体" w:cs="仿宋_GB2312"/>
          <w:kern w:val="0"/>
          <w:sz w:val="18"/>
          <w:szCs w:val="18"/>
        </w:rPr>
        <w:t>产品说明书</w:t>
      </w:r>
      <w:r>
        <w:rPr>
          <w:rFonts w:ascii="黑体" w:hAnsi="黑体" w:eastAsia="黑体" w:cs="仿宋_GB2312"/>
          <w:kern w:val="0"/>
          <w:sz w:val="18"/>
          <w:szCs w:val="18"/>
        </w:rPr>
        <w:t>》《</w:t>
      </w:r>
      <w:r>
        <w:rPr>
          <w:rFonts w:hint="eastAsia" w:ascii="黑体" w:hAnsi="黑体" w:eastAsia="黑体" w:cs="仿宋_GB2312"/>
          <w:kern w:val="0"/>
          <w:sz w:val="18"/>
          <w:szCs w:val="18"/>
        </w:rPr>
        <w:t>（代理）销售协议书</w:t>
      </w:r>
      <w:r>
        <w:rPr>
          <w:rFonts w:ascii="黑体" w:hAnsi="黑体" w:eastAsia="黑体" w:cs="仿宋_GB2312"/>
          <w:kern w:val="0"/>
          <w:sz w:val="18"/>
          <w:szCs w:val="18"/>
        </w:rPr>
        <w:t>》</w:t>
      </w:r>
      <w:r>
        <w:rPr>
          <w:rFonts w:hint="eastAsia" w:ascii="黑体" w:hAnsi="黑体" w:eastAsia="黑体" w:cs="仿宋_GB2312"/>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、赎回理财产品所产生的相关风险和不利后果。</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3</w:t>
      </w:r>
      <w:r>
        <w:rPr>
          <w:rFonts w:hint="eastAsia" w:ascii="黑体" w:hAnsi="黑体" w:eastAsia="黑体" w:cs="仿宋_GB2312"/>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8"/>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pPr>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kern w:val="0"/>
                <w:sz w:val="18"/>
                <w:szCs w:val="18"/>
              </w:rPr>
            </w:pPr>
            <w:r>
              <w:rPr>
                <w:rFonts w:hint="eastAsia" w:ascii="黑体" w:hAnsi="黑体" w:eastAsia="黑体"/>
                <w:kern w:val="0"/>
                <w:sz w:val="18"/>
                <w:szCs w:val="18"/>
              </w:rPr>
              <w:t>★</w:t>
            </w:r>
          </w:p>
          <w:p>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1</w:t>
            </w:r>
            <w:r>
              <w:rPr>
                <w:rFonts w:hint="eastAsia" w:ascii="黑体" w:hAnsi="黑体" w:eastAsia="黑体"/>
                <w:kern w:val="0"/>
                <w:sz w:val="18"/>
                <w:szCs w:val="18"/>
              </w:rPr>
              <w:t>.</w:t>
            </w:r>
            <w:r>
              <w:rPr>
                <w:rFonts w:ascii="黑体" w:hAnsi="黑体" w:eastAsia="黑体"/>
                <w:kern w:val="0"/>
                <w:sz w:val="18"/>
                <w:szCs w:val="18"/>
              </w:rPr>
              <w:t>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14" w:hRule="exact"/>
        </w:trPr>
        <w:tc>
          <w:tcPr>
            <w:tcW w:w="675" w:type="dxa"/>
            <w:vMerge w:val="restart"/>
            <w:vAlign w:val="center"/>
          </w:tcPr>
          <w:p>
            <w:pPr>
              <w:spacing w:line="360" w:lineRule="auto"/>
              <w:jc w:val="center"/>
              <w:rPr>
                <w:b/>
                <w:kern w:val="0"/>
                <w:sz w:val="18"/>
                <w:szCs w:val="18"/>
              </w:rPr>
            </w:pPr>
            <w:r>
              <w:rPr>
                <w:rFonts w:hint="eastAsia"/>
                <w:b/>
                <w:kern w:val="0"/>
                <w:sz w:val="18"/>
                <w:szCs w:val="18"/>
              </w:rPr>
              <w:t>甲方签署栏</w:t>
            </w:r>
          </w:p>
        </w:tc>
        <w:tc>
          <w:tcPr>
            <w:tcW w:w="851" w:type="dxa"/>
          </w:tcPr>
          <w:p>
            <w:pPr>
              <w:spacing w:line="360" w:lineRule="auto"/>
              <w:rPr>
                <w:kern w:val="0"/>
                <w:sz w:val="18"/>
                <w:szCs w:val="18"/>
              </w:rPr>
            </w:pPr>
            <w:r>
              <w:rPr>
                <w:rFonts w:hint="eastAsia"/>
                <w:kern w:val="0"/>
                <w:sz w:val="18"/>
                <w:szCs w:val="18"/>
              </w:rPr>
              <w:t>个人投资者适用</w:t>
            </w:r>
          </w:p>
        </w:tc>
        <w:tc>
          <w:tcPr>
            <w:tcW w:w="6998" w:type="dxa"/>
          </w:tcPr>
          <w:p>
            <w:pPr>
              <w:spacing w:line="360" w:lineRule="auto"/>
              <w:rPr>
                <w:kern w:val="0"/>
                <w:sz w:val="18"/>
                <w:szCs w:val="18"/>
              </w:rPr>
            </w:pPr>
            <w:r>
              <w:rPr>
                <w:rFonts w:hint="eastAsia"/>
                <w:kern w:val="0"/>
                <w:sz w:val="18"/>
                <w:szCs w:val="18"/>
              </w:rPr>
              <w:t>甲方（签名</w:t>
            </w:r>
            <w:r>
              <w:rPr>
                <w:kern w:val="0"/>
                <w:sz w:val="18"/>
                <w:szCs w:val="18"/>
              </w:rPr>
              <w:t>/</w:t>
            </w:r>
            <w:r>
              <w:rPr>
                <w:rFonts w:hint="eastAsia"/>
                <w:kern w:val="0"/>
                <w:sz w:val="18"/>
                <w:szCs w:val="18"/>
              </w:rPr>
              <w:t>线上确认）：</w:t>
            </w:r>
          </w:p>
          <w:p>
            <w:pPr>
              <w:spacing w:line="360" w:lineRule="auto"/>
              <w:rPr>
                <w:b/>
                <w:kern w:val="0"/>
                <w:sz w:val="18"/>
                <w:szCs w:val="18"/>
              </w:rPr>
            </w:pPr>
          </w:p>
          <w:p>
            <w:pPr>
              <w:spacing w:line="360" w:lineRule="auto"/>
              <w:rPr>
                <w:b/>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pPr>
              <w:spacing w:line="360" w:lineRule="auto"/>
              <w:rPr>
                <w:b/>
                <w:kern w:val="0"/>
                <w:sz w:val="18"/>
                <w:szCs w:val="18"/>
              </w:rPr>
            </w:pPr>
          </w:p>
        </w:tc>
        <w:tc>
          <w:tcPr>
            <w:tcW w:w="851" w:type="dxa"/>
          </w:tcPr>
          <w:p>
            <w:pPr>
              <w:spacing w:line="360" w:lineRule="auto"/>
              <w:rPr>
                <w:kern w:val="0"/>
                <w:sz w:val="18"/>
                <w:szCs w:val="18"/>
              </w:rPr>
            </w:pPr>
            <w:r>
              <w:rPr>
                <w:rFonts w:hint="eastAsia"/>
                <w:kern w:val="0"/>
                <w:sz w:val="18"/>
                <w:szCs w:val="18"/>
              </w:rPr>
              <w:t>机构投资者适用</w:t>
            </w:r>
          </w:p>
        </w:tc>
        <w:tc>
          <w:tcPr>
            <w:tcW w:w="6998" w:type="dxa"/>
          </w:tcPr>
          <w:p>
            <w:pPr>
              <w:spacing w:line="360" w:lineRule="auto"/>
              <w:rPr>
                <w:rFonts w:cs="Arial"/>
                <w:kern w:val="0"/>
                <w:sz w:val="18"/>
                <w:szCs w:val="18"/>
              </w:rPr>
            </w:pPr>
            <w:r>
              <w:rPr>
                <w:rFonts w:hint="eastAsia"/>
                <w:kern w:val="0"/>
                <w:sz w:val="18"/>
                <w:szCs w:val="18"/>
              </w:rPr>
              <w:t>甲方</w:t>
            </w:r>
            <w:r>
              <w:rPr>
                <w:rFonts w:hint="eastAsia" w:cs="Arial"/>
                <w:kern w:val="0"/>
                <w:sz w:val="18"/>
                <w:szCs w:val="18"/>
              </w:rPr>
              <w:t>（盖章</w:t>
            </w:r>
            <w:r>
              <w:rPr>
                <w:kern w:val="0"/>
                <w:sz w:val="18"/>
                <w:szCs w:val="18"/>
              </w:rPr>
              <w:t>/</w:t>
            </w:r>
            <w:r>
              <w:rPr>
                <w:rFonts w:hint="eastAsia"/>
                <w:kern w:val="0"/>
                <w:sz w:val="18"/>
                <w:szCs w:val="18"/>
              </w:rPr>
              <w:t>线上确认</w:t>
            </w:r>
            <w:r>
              <w:rPr>
                <w:rFonts w:hint="eastAsia" w:cs="Arial"/>
                <w:kern w:val="0"/>
                <w:sz w:val="18"/>
                <w:szCs w:val="18"/>
              </w:rPr>
              <w:t>）：</w:t>
            </w:r>
          </w:p>
          <w:p>
            <w:pPr>
              <w:spacing w:line="360" w:lineRule="auto"/>
              <w:rPr>
                <w:rFonts w:cs="Arial"/>
                <w:kern w:val="0"/>
                <w:sz w:val="18"/>
                <w:szCs w:val="18"/>
              </w:rPr>
            </w:pPr>
          </w:p>
          <w:p>
            <w:pPr>
              <w:spacing w:line="360" w:lineRule="auto"/>
              <w:rPr>
                <w:b/>
                <w:kern w:val="0"/>
                <w:sz w:val="18"/>
                <w:szCs w:val="18"/>
              </w:rPr>
            </w:pPr>
            <w:r>
              <w:rPr>
                <w:rFonts w:hint="eastAsia" w:cs="Arial"/>
                <w:kern w:val="0"/>
                <w:sz w:val="18"/>
                <w:szCs w:val="18"/>
              </w:rPr>
              <w:t>甲方法定代表人或授权代理人（签名</w:t>
            </w:r>
            <w:r>
              <w:rPr>
                <w:kern w:val="0"/>
                <w:sz w:val="18"/>
                <w:szCs w:val="18"/>
              </w:rPr>
              <w:t>/</w:t>
            </w:r>
            <w:r>
              <w:rPr>
                <w:rFonts w:hint="eastAsia" w:cs="Arial"/>
                <w:kern w:val="0"/>
                <w:sz w:val="18"/>
                <w:szCs w:val="18"/>
              </w:rPr>
              <w:t>盖章</w:t>
            </w:r>
            <w:r>
              <w:rPr>
                <w:kern w:val="0"/>
                <w:sz w:val="18"/>
                <w:szCs w:val="18"/>
              </w:rPr>
              <w:t>/</w:t>
            </w:r>
            <w:r>
              <w:rPr>
                <w:rFonts w:hint="eastAsia"/>
                <w:kern w:val="0"/>
                <w:sz w:val="18"/>
                <w:szCs w:val="18"/>
              </w:rPr>
              <w:t>线上确认</w:t>
            </w:r>
            <w:r>
              <w:rPr>
                <w:rFonts w:hint="eastAsia" w:cs="Arial"/>
                <w:kern w:val="0"/>
                <w:sz w:val="18"/>
                <w:szCs w:val="18"/>
              </w:rPr>
              <w:t>）：</w:t>
            </w:r>
          </w:p>
          <w:p>
            <w:pPr>
              <w:spacing w:line="360" w:lineRule="auto"/>
              <w:rPr>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tcPr>
          <w:p>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pPr>
              <w:spacing w:line="360" w:lineRule="auto"/>
              <w:rPr>
                <w:b/>
                <w:kern w:val="0"/>
                <w:sz w:val="18"/>
                <w:szCs w:val="18"/>
              </w:rPr>
            </w:pPr>
          </w:p>
          <w:p>
            <w:pPr>
              <w:spacing w:line="360" w:lineRule="auto"/>
              <w:rPr>
                <w:kern w:val="0"/>
                <w:sz w:val="18"/>
                <w:szCs w:val="18"/>
              </w:rPr>
            </w:pPr>
            <w:r>
              <w:rPr>
                <w:rFonts w:hint="eastAsia"/>
                <w:kern w:val="0"/>
                <w:sz w:val="18"/>
                <w:szCs w:val="18"/>
              </w:rPr>
              <w:t>日期：</w:t>
            </w:r>
          </w:p>
        </w:tc>
      </w:tr>
    </w:tbl>
    <w:p>
      <w:pPr>
        <w:spacing w:line="360" w:lineRule="auto"/>
        <w:jc w:val="left"/>
        <w:rPr>
          <w:rFonts w:ascii="宋体" w:hAnsi="宋体"/>
          <w:b/>
          <w:sz w:val="18"/>
          <w:szCs w:val="18"/>
        </w:rPr>
      </w:pPr>
      <w:r>
        <w:rPr>
          <w:rFonts w:hint="eastAsia" w:ascii="宋体" w:hAnsi="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
      <w:bookmarkStart w:id="66" w:name="_GoBack"/>
      <w:bookmarkEnd w:id="66"/>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3"/>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b/>
      </w:rPr>
    </w:pPr>
    <w:r>
      <w:rPr>
        <w:rFonts w:hint="eastAsia"/>
        <w:b/>
      </w:rPr>
      <w:t>投资协议书</w:t>
    </w:r>
  </w:p>
  <w:p>
    <w:pPr>
      <w:pStyle w:val="4"/>
      <w:jc w:val="right"/>
      <w:rPr>
        <w:b/>
      </w:rPr>
    </w:pPr>
    <w:r>
      <w:rPr>
        <w:rFonts w:hint="eastAsia"/>
        <w:b/>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8A33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120" w:after="120" w:line="360" w:lineRule="auto"/>
      <w:outlineLvl w:val="0"/>
    </w:pPr>
    <w:rPr>
      <w:rFonts w:ascii="宋体"/>
      <w:b/>
      <w:color w:val="000000"/>
      <w:kern w:val="0"/>
      <w:sz w:val="24"/>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rPr>
  </w:style>
  <w:style w:type="paragraph" w:styleId="5">
    <w:name w:val="toc 1"/>
    <w:basedOn w:val="1"/>
    <w:next w:val="1"/>
    <w:qFormat/>
    <w:uiPriority w:val="39"/>
    <w:pPr>
      <w:tabs>
        <w:tab w:val="right" w:leader="dot" w:pos="8296"/>
      </w:tabs>
      <w:spacing w:line="360" w:lineRule="auto"/>
    </w:pPr>
  </w:style>
  <w:style w:type="paragraph" w:styleId="6">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22"/>
    <w:rPr>
      <w:b/>
      <w:bCs/>
    </w:rPr>
  </w:style>
  <w:style w:type="paragraph" w:customStyle="1" w:styleId="11">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paragraph" w:customStyle="1" w:styleId="12">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2025-08-14T03:14:37Z</dcterms:created>
  <dc:creator>Lenovo</dc:creator>
  <cp:lastModifiedBy>Lenovo</cp:lastModifiedBy>
  <dcterms:modified xsi:type="dcterms:W3CDTF">2025-08-14T03:15:36Z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44237884D81B477D8FD86FA9D1A199AB</vt:lpwstr>
  </property>
</Properties>
</file>