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w:t>
      </w:r>
      <w:r>
        <w:rPr>
          <w:rFonts w:hint="eastAsia" w:ascii="楷体" w:hAnsi="楷体" w:eastAsia="楷体"/>
          <w:b/>
          <w:sz w:val="36"/>
          <w:szCs w:val="36"/>
          <w:lang w:eastAsia="zh-CN"/>
        </w:rPr>
        <w:t>恒源6月定开1期</w:t>
      </w:r>
      <w:r>
        <w:rPr>
          <w:rFonts w:hint="eastAsia" w:ascii="楷体" w:hAnsi="楷体" w:eastAsia="楷体"/>
          <w:b/>
          <w:sz w:val="36"/>
          <w:szCs w:val="36"/>
        </w:rPr>
        <w:t>”理财产品说明书</w:t>
      </w:r>
    </w:p>
    <w:p>
      <w:pPr>
        <w:jc w:val="center"/>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1"/>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投资者应充分认识投资风险，谨慎投资；本理财产品过往业绩不代表其未来表现，不等于理财产品实际收益，投资须谨慎；理财非存款、产品有风险、投资须谨慎。</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为管理人对本产品所设定的投资目标，不代表投资者可能获得的实际收益，亦不构成苏银理财有限责任公司（以下简称“苏银理财”）对本理财产品的任何收益承诺。</w:t>
      </w:r>
    </w:p>
    <w:p>
      <w:pPr>
        <w:numPr>
          <w:ilvl w:val="0"/>
          <w:numId w:val="1"/>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1"/>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恒源6月定开1期</w:t>
      </w:r>
      <w:r>
        <w:rPr>
          <w:rFonts w:hint="eastAsia" w:ascii="楷体" w:hAnsi="楷体" w:eastAsia="楷体"/>
          <w:sz w:val="24"/>
          <w:szCs w:val="24"/>
        </w:rPr>
        <w:t>”理财产品风险揭示书》的“风险揭示”部分。</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1"/>
        </w:numPr>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rPr>
        <w:t>产品管理人将于</w:t>
      </w:r>
      <w:r>
        <w:rPr>
          <w:rFonts w:hint="eastAsia" w:ascii="楷体" w:hAnsi="楷体" w:eastAsia="楷体"/>
          <w:b/>
          <w:bCs/>
          <w:sz w:val="24"/>
          <w:szCs w:val="24"/>
          <w:u w:val="single"/>
          <w:lang w:val="en-US" w:eastAsia="zh-CN"/>
        </w:rPr>
        <w:t>调整事项</w:t>
      </w:r>
      <w:r>
        <w:rPr>
          <w:rFonts w:hint="eastAsia" w:ascii="楷体" w:hAnsi="楷体" w:eastAsia="楷体"/>
          <w:b/>
          <w:bCs/>
          <w:sz w:val="24"/>
          <w:szCs w:val="24"/>
          <w:u w:val="single"/>
        </w:rPr>
        <w:t>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1"/>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金融监管总局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1"/>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1"/>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1"/>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sz w:val="24"/>
          <w:szCs w:val="24"/>
        </w:rPr>
      </w:pPr>
      <w:r>
        <w:rPr>
          <w:rFonts w:hint="eastAsia" w:ascii="楷体" w:hAnsi="楷体" w:eastAsia="楷体"/>
          <w:sz w:val="24"/>
          <w:szCs w:val="24"/>
        </w:rPr>
        <w:t>为保护投资者合法权益，尊重投资者的知情权和自主选择权，现将本理财产品的基本要素说明如下：</w:t>
      </w:r>
    </w:p>
    <w:tbl>
      <w:tblPr>
        <w:tblStyle w:val="15"/>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1"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恒源6月定开1期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0"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34"/>
              <w:keepNext w:val="0"/>
              <w:keepLines w:val="0"/>
              <w:suppressLineNumbers w:val="0"/>
              <w:kinsoku w:val="0"/>
              <w:overflowPunct w:val="0"/>
              <w:spacing w:before="0"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Z7003121000235</w:t>
            </w:r>
          </w:p>
          <w:p>
            <w:pPr>
              <w:pStyle w:val="34"/>
              <w:keepNext w:val="0"/>
              <w:keepLines w:val="0"/>
              <w:suppressLineNumbers w:val="0"/>
              <w:kinsoku w:val="0"/>
              <w:overflowPunct w:val="0"/>
              <w:spacing w:before="0"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hint="default" w:ascii="楷体" w:hAnsi="楷体" w:eastAsia="楷体" w:cs="宋体"/>
                <w:spacing w:val="-2"/>
                <w:sz w:val="21"/>
                <w:szCs w:val="21"/>
              </w:rPr>
              <w:fldChar w:fldCharType="begin"/>
            </w:r>
            <w:r>
              <w:rPr>
                <w:rFonts w:hint="default" w:ascii="楷体" w:hAnsi="楷体" w:eastAsia="楷体" w:cs="宋体"/>
                <w:spacing w:val="-2"/>
                <w:sz w:val="21"/>
                <w:szCs w:val="21"/>
              </w:rPr>
              <w:instrText xml:space="preserve"> HYPERLINK "http://www.chinawealth.com.cn/" </w:instrText>
            </w:r>
            <w:r>
              <w:rPr>
                <w:rFonts w:hint="default" w:ascii="楷体" w:hAnsi="楷体" w:eastAsia="楷体" w:cs="宋体"/>
                <w:spacing w:val="-2"/>
                <w:sz w:val="21"/>
                <w:szCs w:val="21"/>
              </w:rPr>
              <w:fldChar w:fldCharType="separate"/>
            </w:r>
            <w:r>
              <w:rPr>
                <w:rFonts w:hint="default" w:ascii="楷体" w:hAnsi="楷体" w:eastAsia="楷体" w:cs="宋体"/>
                <w:spacing w:val="-2"/>
                <w:sz w:val="21"/>
                <w:szCs w:val="21"/>
              </w:rPr>
              <w:t>www.chinawealth.com.cn</w:t>
            </w:r>
            <w:r>
              <w:rPr>
                <w:rFonts w:hint="default"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A份额：苏银理财</w:t>
            </w:r>
            <w:r>
              <w:rPr>
                <w:rFonts w:hint="eastAsia" w:ascii="楷体" w:hAnsi="楷体" w:eastAsia="楷体" w:cs="宋体"/>
                <w:spacing w:val="-2"/>
                <w:sz w:val="21"/>
                <w:szCs w:val="21"/>
                <w:lang w:eastAsia="zh-CN"/>
              </w:rPr>
              <w:t>恒源6月定开1期</w:t>
            </w:r>
            <w:r>
              <w:rPr>
                <w:rFonts w:hint="eastAsia" w:ascii="楷体" w:hAnsi="楷体" w:eastAsia="楷体" w:cs="宋体"/>
                <w:spacing w:val="-2"/>
                <w:sz w:val="21"/>
                <w:szCs w:val="21"/>
              </w:rPr>
              <w:t>A/</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1066</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rPr>
              <w:t>C</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恒源6月定开1期</w:t>
            </w:r>
            <w:r>
              <w:rPr>
                <w:rFonts w:hint="default" w:ascii="楷体" w:hAnsi="楷体" w:eastAsia="楷体" w:cs="宋体"/>
                <w:spacing w:val="-2"/>
                <w:sz w:val="21"/>
                <w:szCs w:val="21"/>
              </w:rPr>
              <w:t>C</w:t>
            </w:r>
            <w:r>
              <w:rPr>
                <w:rFonts w:hint="eastAsia" w:ascii="楷体" w:hAnsi="楷体" w:eastAsia="楷体" w:cs="宋体"/>
                <w:spacing w:val="-2"/>
                <w:sz w:val="21"/>
                <w:szCs w:val="21"/>
              </w:rPr>
              <w:t>/</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1067</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rPr>
              <w:t>D</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恒源6月定开1期</w:t>
            </w:r>
            <w:r>
              <w:rPr>
                <w:rFonts w:hint="default" w:ascii="楷体" w:hAnsi="楷体" w:eastAsia="楷体" w:cs="宋体"/>
                <w:spacing w:val="-2"/>
                <w:sz w:val="21"/>
                <w:szCs w:val="21"/>
              </w:rPr>
              <w:t>D</w:t>
            </w:r>
            <w:r>
              <w:rPr>
                <w:rFonts w:hint="eastAsia" w:ascii="楷体" w:hAnsi="楷体" w:eastAsia="楷体" w:cs="宋体"/>
                <w:spacing w:val="-2"/>
                <w:sz w:val="21"/>
                <w:szCs w:val="21"/>
              </w:rPr>
              <w:t>/</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1068</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恒源6月定开1期</w:t>
            </w: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江苏银行股份有限公司，详见下文“十五、产品托管人”。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eepNext w:val="0"/>
              <w:keepLines w:val="0"/>
              <w:suppressLineNumbers w:val="0"/>
              <w:kinsoku w:val="0"/>
              <w:overflowPunct w:val="0"/>
              <w:autoSpaceDE w:val="0"/>
              <w:autoSpaceDN w:val="0"/>
              <w:adjustRightInd w:val="0"/>
              <w:spacing w:before="13" w:beforeAutospacing="0" w:after="0" w:afterAutospacing="0"/>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hint="default" w:ascii="楷体" w:hAnsi="楷体" w:eastAsia="楷体" w:cs="宋体"/>
                <w:spacing w:val="-2"/>
                <w:sz w:val="21"/>
                <w:szCs w:val="21"/>
                <w:highlight w:val="none"/>
              </w:rPr>
              <w:t>销售评级与</w:t>
            </w:r>
            <w:r>
              <w:rPr>
                <w:rFonts w:hint="eastAsia" w:ascii="楷体" w:hAnsi="楷体" w:eastAsia="楷体" w:cs="宋体"/>
                <w:spacing w:val="-2"/>
                <w:sz w:val="21"/>
                <w:szCs w:val="21"/>
                <w:highlight w:val="none"/>
              </w:rPr>
              <w:t>苏银理财</w:t>
            </w:r>
            <w:r>
              <w:rPr>
                <w:rFonts w:hint="default" w:ascii="楷体" w:hAnsi="楷体" w:eastAsia="楷体" w:cs="宋体"/>
                <w:spacing w:val="-2"/>
                <w:sz w:val="21"/>
                <w:szCs w:val="21"/>
                <w:highlight w:val="none"/>
              </w:rPr>
              <w:t>产品评级结果不一致的，代理销售机构应当采用对应较高风险等级的评级结果并予以披露</w:t>
            </w:r>
            <w:r>
              <w:rPr>
                <w:rFonts w:hint="eastAsia" w:ascii="楷体" w:hAnsi="楷体" w:eastAsia="楷体" w:cs="宋体"/>
                <w:spacing w:val="-2"/>
                <w:sz w:val="21"/>
                <w:szCs w:val="21"/>
                <w:highlight w:val="none"/>
              </w:rPr>
              <w:t>。</w:t>
            </w:r>
          </w:p>
          <w:p>
            <w:pPr>
              <w:pStyle w:val="34"/>
              <w:keepNext w:val="0"/>
              <w:keepLines w:val="0"/>
              <w:suppressLineNumbers w:val="0"/>
              <w:kinsoku w:val="0"/>
              <w:overflowPunct w:val="0"/>
              <w:spacing w:before="13"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b/>
                <w:spacing w:val="-2"/>
                <w:sz w:val="21"/>
                <w:szCs w:val="21"/>
                <w:highlight w:val="none"/>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hint="default"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hint="default"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rPr>
            </w:pPr>
            <w:r>
              <w:rPr>
                <w:rFonts w:hint="default" w:ascii="楷体" w:hAnsi="楷体" w:eastAsia="楷体" w:cs="宋体"/>
                <w:spacing w:val="-2"/>
                <w:sz w:val="21"/>
                <w:szCs w:val="21"/>
              </w:rPr>
              <w:t>A</w:t>
            </w:r>
            <w:r>
              <w:rPr>
                <w:rFonts w:hint="eastAsia" w:ascii="楷体" w:hAnsi="楷体" w:eastAsia="楷体" w:cs="宋体"/>
                <w:spacing w:val="-2"/>
                <w:sz w:val="21"/>
                <w:szCs w:val="21"/>
              </w:rPr>
              <w:t>份额面向个人和机构投资者销售。</w:t>
            </w:r>
          </w:p>
          <w:p>
            <w:pPr>
              <w:pStyle w:val="34"/>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lang w:val="en-US" w:eastAsia="zh-CN"/>
              </w:rPr>
              <w:t>C</w:t>
            </w:r>
            <w:r>
              <w:rPr>
                <w:rFonts w:hint="eastAsia" w:ascii="楷体" w:hAnsi="楷体" w:eastAsia="楷体" w:cs="宋体"/>
                <w:spacing w:val="-2"/>
                <w:sz w:val="21"/>
                <w:szCs w:val="21"/>
                <w:highlight w:val="none"/>
              </w:rPr>
              <w:t>份额面向个人和机构投资者销售（</w:t>
            </w:r>
            <w:r>
              <w:rPr>
                <w:rFonts w:hint="eastAsia" w:ascii="楷体" w:hAnsi="楷体" w:eastAsia="楷体" w:cs="宋体"/>
                <w:spacing w:val="-2"/>
                <w:sz w:val="21"/>
                <w:szCs w:val="21"/>
                <w:highlight w:val="none"/>
                <w:lang w:val="en-US" w:eastAsia="zh-CN"/>
              </w:rPr>
              <w:t>销售机构</w:t>
            </w:r>
            <w:r>
              <w:rPr>
                <w:rFonts w:hint="eastAsia" w:ascii="楷体" w:hAnsi="楷体" w:eastAsia="楷体" w:cs="宋体"/>
                <w:spacing w:val="-2"/>
                <w:sz w:val="21"/>
                <w:szCs w:val="21"/>
                <w:highlight w:val="none"/>
              </w:rPr>
              <w:t>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highlight w:val="none"/>
              </w:rPr>
              <w:t>仅限新资金客户及新客户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新资金的达标条件为“客户前一日资产时点余额”较“前一月末资产月日均余额”的新增额大于5万元；新客户是指首次购买苏银理财理财产品的客户）。</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default" w:ascii="楷体" w:hAnsi="楷体" w:eastAsia="楷体" w:cs="宋体"/>
                <w:spacing w:val="-2"/>
                <w:sz w:val="21"/>
                <w:szCs w:val="21"/>
              </w:rPr>
              <w:t>D</w:t>
            </w:r>
            <w:r>
              <w:rPr>
                <w:rFonts w:hint="eastAsia" w:ascii="楷体" w:hAnsi="楷体" w:eastAsia="楷体" w:cs="宋体"/>
                <w:spacing w:val="-2"/>
                <w:sz w:val="21"/>
                <w:szCs w:val="21"/>
              </w:rPr>
              <w:t>份额面向个人</w:t>
            </w:r>
            <w:r>
              <w:rPr>
                <w:rFonts w:hint="eastAsia" w:ascii="楷体" w:hAnsi="楷体" w:eastAsia="楷体" w:cs="宋体"/>
                <w:spacing w:val="-2"/>
                <w:sz w:val="21"/>
                <w:szCs w:val="21"/>
                <w:lang w:val="en-US" w:eastAsia="zh-CN"/>
              </w:rPr>
              <w:t>和机构</w:t>
            </w:r>
            <w:r>
              <w:rPr>
                <w:rFonts w:hint="eastAsia" w:ascii="楷体" w:hAnsi="楷体" w:eastAsia="楷体" w:cs="宋体"/>
                <w:spacing w:val="-2"/>
                <w:sz w:val="21"/>
                <w:szCs w:val="21"/>
              </w:rPr>
              <w:t>投资者销售（</w:t>
            </w:r>
            <w:r>
              <w:rPr>
                <w:rFonts w:hint="eastAsia" w:ascii="楷体" w:hAnsi="楷体" w:eastAsia="楷体" w:cs="宋体"/>
                <w:spacing w:val="-2"/>
                <w:sz w:val="21"/>
                <w:szCs w:val="21"/>
                <w:lang w:val="en-US" w:eastAsia="zh-CN"/>
              </w:rPr>
              <w:t>销售机构江苏银行个人投资者</w:t>
            </w:r>
            <w:r>
              <w:rPr>
                <w:rFonts w:hint="eastAsia" w:ascii="楷体" w:hAnsi="楷体" w:eastAsia="楷体" w:cs="宋体"/>
                <w:spacing w:val="-2"/>
                <w:sz w:val="21"/>
                <w:szCs w:val="21"/>
              </w:rPr>
              <w:t>仅限财富客户、私行客户购买；江苏银行财富客户指在江苏银行日均资产大于等于200万元的个人客户；江苏银行私行客户指在江苏银行日均资产大于等于600万元的个人客户</w:t>
            </w:r>
            <w:r>
              <w:rPr>
                <w:rFonts w:hint="eastAsia" w:ascii="楷体" w:hAnsi="楷体" w:eastAsia="楷体" w:cs="宋体"/>
                <w:spacing w:val="-2"/>
                <w:sz w:val="21"/>
                <w:szCs w:val="21"/>
                <w:lang w:eastAsia="zh-CN"/>
              </w:rPr>
              <w:t>。机构投资者具体以销售机构设置为准</w:t>
            </w:r>
            <w:r>
              <w:rPr>
                <w:rFonts w:hint="eastAsia" w:ascii="楷体" w:hAnsi="楷体" w:eastAsia="楷体" w:cs="宋体"/>
                <w:spacing w:val="-2"/>
                <w:sz w:val="21"/>
                <w:szCs w:val="21"/>
                <w:lang w:val="en-US" w:eastAsia="zh-CN"/>
              </w:rPr>
              <w:t>。</w:t>
            </w:r>
            <w:r>
              <w:rPr>
                <w:rFonts w:hint="eastAsia" w:ascii="楷体" w:hAnsi="楷体" w:eastAsia="楷体" w:cs="宋体"/>
                <w:spacing w:val="-2"/>
                <w:sz w:val="21"/>
                <w:szCs w:val="21"/>
              </w:rPr>
              <w:t>）。</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b/>
                <w:spacing w:val="-2"/>
                <w:sz w:val="21"/>
                <w:szCs w:val="21"/>
              </w:rPr>
            </w:pPr>
            <w:r>
              <w:rPr>
                <w:rFonts w:hint="default" w:ascii="楷体" w:hAnsi="楷体" w:eastAsia="楷体" w:cs="宋体"/>
                <w:spacing w:val="-2"/>
                <w:sz w:val="21"/>
                <w:szCs w:val="21"/>
              </w:rPr>
              <w:t>6</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 w:val="21"/>
                <w:szCs w:val="21"/>
              </w:rPr>
            </w:pPr>
            <w:r>
              <w:rPr>
                <w:rFonts w:hint="eastAsia" w:ascii="楷体" w:hAnsi="楷体" w:eastAsia="楷体" w:cs="宋体"/>
                <w:spacing w:val="-2"/>
                <w:szCs w:val="21"/>
              </w:rPr>
              <w:t>首个投资周期计划发行规模</w:t>
            </w:r>
            <w:r>
              <w:rPr>
                <w:rFonts w:hint="eastAsia" w:ascii="楷体" w:hAnsi="楷体" w:eastAsia="楷体" w:cs="宋体"/>
                <w:spacing w:val="-2"/>
                <w:szCs w:val="21"/>
                <w:lang w:val="en-US" w:eastAsia="zh-CN"/>
              </w:rPr>
              <w:t>10</w:t>
            </w:r>
            <w:r>
              <w:rPr>
                <w:rFonts w:hint="eastAsia" w:ascii="楷体" w:hAnsi="楷体" w:eastAsia="楷体" w:cs="宋体"/>
                <w:spacing w:val="-2"/>
                <w:szCs w:val="21"/>
              </w:rPr>
              <w:t>亿元，募集过程中管理人有权根据产品的募集情况调整计划发行规模。后续开放期内管理人将根据客户申购/赎回情况调整产品发行规模。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hint="default"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hint="default" w:ascii="楷体" w:hAnsi="楷体" w:eastAsia="楷体" w:cs="宋体"/>
                <w:spacing w:val="-2"/>
                <w:szCs w:val="21"/>
              </w:rPr>
              <w:t>1</w:t>
            </w:r>
            <w:r>
              <w:rPr>
                <w:rFonts w:hint="eastAsia" w:ascii="楷体" w:hAnsi="楷体" w:eastAsia="楷体"/>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szCs w:val="21"/>
              </w:rPr>
            </w:pPr>
            <w:r>
              <w:rPr>
                <w:rFonts w:hint="default" w:ascii="楷体" w:hAnsi="楷体" w:eastAsia="楷体" w:cs="宋体"/>
                <w:spacing w:val="-2"/>
                <w:szCs w:val="21"/>
              </w:rPr>
              <w:t>C</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szCs w:val="21"/>
              </w:rPr>
            </w:pPr>
            <w:r>
              <w:rPr>
                <w:rFonts w:hint="default" w:ascii="楷体" w:hAnsi="楷体" w:eastAsia="楷体" w:cs="宋体"/>
                <w:spacing w:val="-2"/>
                <w:szCs w:val="21"/>
              </w:rPr>
              <w:t>D</w:t>
            </w:r>
            <w:r>
              <w:rPr>
                <w:rFonts w:hint="eastAsia" w:ascii="楷体" w:hAnsi="楷体" w:eastAsia="楷体" w:cs="宋体"/>
                <w:spacing w:val="-2"/>
                <w:szCs w:val="21"/>
              </w:rPr>
              <w:t>份额</w:t>
            </w:r>
            <w:r>
              <w:rPr>
                <w:rFonts w:hint="eastAsia" w:ascii="楷体" w:hAnsi="楷体" w:eastAsia="楷体" w:cs="宋体"/>
                <w:spacing w:val="-2"/>
                <w:szCs w:val="21"/>
                <w:lang w:val="en-US" w:eastAsia="zh-CN"/>
              </w:rPr>
              <w:t>个人投资者</w:t>
            </w:r>
            <w:r>
              <w:rPr>
                <w:rFonts w:hint="eastAsia" w:ascii="楷体" w:hAnsi="楷体" w:eastAsia="楷体" w:cs="宋体"/>
                <w:spacing w:val="-2"/>
                <w:szCs w:val="21"/>
              </w:rPr>
              <w:t>认购起点</w:t>
            </w:r>
            <w:r>
              <w:rPr>
                <w:rFonts w:hint="default" w:ascii="楷体" w:hAnsi="楷体" w:eastAsia="楷体" w:cs="宋体"/>
                <w:spacing w:val="-2"/>
                <w:szCs w:val="21"/>
              </w:rPr>
              <w:t>50</w:t>
            </w:r>
            <w:r>
              <w:rPr>
                <w:rFonts w:hint="eastAsia" w:ascii="楷体" w:hAnsi="楷体" w:eastAsia="楷体" w:cs="宋体"/>
                <w:spacing w:val="-2"/>
                <w:szCs w:val="21"/>
              </w:rPr>
              <w:t>万元，</w:t>
            </w:r>
            <w:r>
              <w:rPr>
                <w:rFonts w:hint="eastAsia" w:ascii="楷体" w:hAnsi="楷体" w:eastAsia="楷体"/>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szCs w:val="21"/>
              </w:rPr>
              <w:t>元的整数倍</w:t>
            </w:r>
            <w:r>
              <w:rPr>
                <w:rFonts w:hint="eastAsia" w:ascii="楷体" w:hAnsi="楷体" w:eastAsia="楷体"/>
                <w:szCs w:val="21"/>
                <w:lang w:eastAsia="zh-CN"/>
              </w:rPr>
              <w:t>；</w:t>
            </w:r>
            <w:r>
              <w:rPr>
                <w:rFonts w:hint="eastAsia" w:ascii="楷体" w:hAnsi="楷体" w:eastAsia="楷体"/>
                <w:szCs w:val="21"/>
                <w:lang w:val="en-US" w:eastAsia="zh-CN"/>
              </w:rPr>
              <w:t>机构投资者认购起点5000万元，追加金额为1万元的整数倍</w:t>
            </w:r>
            <w:r>
              <w:rPr>
                <w:rFonts w:hint="eastAsia" w:ascii="楷体" w:hAnsi="楷体" w:eastAsia="楷体"/>
                <w:szCs w:val="21"/>
              </w:rPr>
              <w:t>。</w:t>
            </w:r>
          </w:p>
          <w:p>
            <w:pPr>
              <w:keepNext w:val="0"/>
              <w:keepLines w:val="0"/>
              <w:suppressLineNumbers w:val="0"/>
              <w:spacing w:before="0" w:beforeAutospacing="0" w:after="0" w:afterAutospacing="0"/>
              <w:ind w:left="59" w:right="73" w:rightChars="35"/>
              <w:rPr>
                <w:rFonts w:hint="eastAsia" w:ascii="楷体" w:hAnsi="楷体" w:eastAsia="楷体"/>
                <w:szCs w:val="21"/>
              </w:rPr>
            </w:pPr>
            <w:r>
              <w:rPr>
                <w:rFonts w:hint="eastAsia" w:ascii="楷体" w:hAnsi="楷体" w:eastAsia="楷体"/>
                <w:szCs w:val="21"/>
                <w:lang w:val="en-US" w:eastAsia="zh-CN"/>
              </w:rPr>
              <w:t>F</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hint="default" w:ascii="楷体" w:hAnsi="楷体" w:eastAsia="楷体" w:cs="宋体"/>
                <w:spacing w:val="-2"/>
                <w:szCs w:val="21"/>
              </w:rPr>
              <w:t>1</w:t>
            </w:r>
            <w:r>
              <w:rPr>
                <w:rFonts w:hint="eastAsia" w:ascii="楷体" w:hAnsi="楷体" w:eastAsia="楷体"/>
                <w:szCs w:val="21"/>
              </w:rPr>
              <w:t>元的整数倍。</w:t>
            </w:r>
          </w:p>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szCs w:val="21"/>
              </w:rPr>
              <w:t>认购起点/追加金额具体以</w:t>
            </w:r>
            <w:r>
              <w:rPr>
                <w:rFonts w:hint="eastAsia" w:ascii="楷体" w:hAnsi="楷体" w:eastAsia="楷体"/>
                <w:szCs w:val="21"/>
                <w:lang w:val="en-US" w:eastAsia="zh-CN"/>
              </w:rPr>
              <w:t>销售</w:t>
            </w:r>
            <w:r>
              <w:rPr>
                <w:rFonts w:hint="eastAsia" w:ascii="楷体" w:hAnsi="楷体" w:eastAsia="楷体"/>
                <w:szCs w:val="21"/>
              </w:rPr>
              <w:t>机构设置为准。认购资金的清算和认购份额的计算详见下文“八、产品认购”。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份额面值</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leftChars="0" w:right="73" w:rightChars="35"/>
              <w:jc w:val="both"/>
              <w:rPr>
                <w:rFonts w:hint="eastAsia" w:ascii="楷体" w:hAnsi="楷体" w:eastAsia="楷体" w:cs="宋体"/>
                <w:spacing w:val="-2"/>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A/C/D份额：</w:t>
            </w:r>
            <w:r>
              <w:rPr>
                <w:rFonts w:hint="eastAsia" w:ascii="楷体" w:hAnsi="楷体" w:eastAsia="楷体" w:cs="宋体"/>
                <w:spacing w:val="-2"/>
                <w:sz w:val="21"/>
                <w:szCs w:val="21"/>
                <w:lang w:eastAsia="zh-CN"/>
              </w:rPr>
              <w:t>2021年12月29日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2022年1月5日</w:t>
            </w:r>
            <w:r>
              <w:rPr>
                <w:rFonts w:hint="eastAsia" w:ascii="楷体" w:hAnsi="楷体" w:eastAsia="楷体" w:cs="宋体"/>
                <w:spacing w:val="-2"/>
                <w:sz w:val="21"/>
                <w:szCs w:val="21"/>
              </w:rPr>
              <w:t>17:00</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lang w:eastAsia="zh-CN"/>
              </w:rPr>
              <w:t>2022年7月13日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2022年7月19日</w:t>
            </w:r>
            <w:r>
              <w:rPr>
                <w:rFonts w:hint="eastAsia" w:ascii="楷体" w:hAnsi="楷体" w:eastAsia="楷体" w:cs="宋体"/>
                <w:spacing w:val="-2"/>
                <w:sz w:val="21"/>
                <w:szCs w:val="21"/>
              </w:rPr>
              <w:t>17:00</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产品成立日/份额登记日</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A/C/D份额：</w:t>
            </w:r>
            <w:r>
              <w:rPr>
                <w:rFonts w:hint="eastAsia" w:ascii="楷体" w:hAnsi="楷体" w:eastAsia="楷体" w:cs="宋体"/>
                <w:spacing w:val="-2"/>
                <w:sz w:val="21"/>
                <w:szCs w:val="21"/>
                <w:lang w:eastAsia="zh-CN"/>
              </w:rPr>
              <w:t>2022年1月6日</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F份额：2022年7月20日</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000万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w:t>
            </w:r>
            <w:r>
              <w:rPr>
                <w:rFonts w:hint="eastAsia" w:ascii="楷体" w:hAnsi="楷体" w:eastAsia="楷体" w:cs="宋体"/>
                <w:spacing w:val="-2"/>
                <w:sz w:val="21"/>
                <w:szCs w:val="21"/>
                <w:lang w:eastAsia="zh-CN"/>
              </w:rPr>
              <w:t>募集期及资金</w:t>
            </w:r>
            <w:r>
              <w:rPr>
                <w:rFonts w:hint="eastAsia" w:ascii="楷体" w:hAnsi="楷体" w:eastAsia="楷体" w:cs="宋体"/>
                <w:spacing w:val="-2"/>
                <w:sz w:val="21"/>
                <w:szCs w:val="21"/>
              </w:rPr>
              <w:t>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2032年1月29日</w:t>
            </w:r>
            <w:r>
              <w:rPr>
                <w:rFonts w:hint="eastAsia" w:ascii="楷体" w:hAnsi="楷体" w:eastAsia="楷体" w:cs="宋体"/>
                <w:spacing w:val="-2"/>
                <w:sz w:val="21"/>
                <w:szCs w:val="21"/>
              </w:rPr>
              <w:t>（如遇节假日，顺延至下一工作日）</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在符合本理财产品说明书约定的条件下，管理人有权提前终止该产品，产品到期日受制于提前终止条款。详见下文“十二、产品的终止与清算”。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本产品按投资周期开放申购与赎回，每6个月开放一次，投资者可在每个投资周期终止日前7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管理人有权根据资产运作情况、节假日安排调整开放计划，并在调整前进行公告。详见下文“十、产品申购、赎回”。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单个客户单日认/申购限额</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1亿元。</w:t>
            </w:r>
            <w:r>
              <w:rPr>
                <w:rFonts w:hint="eastAsia" w:ascii="楷体" w:hAnsi="楷体" w:eastAsia="楷体" w:cs="宋体"/>
                <w:spacing w:val="-2"/>
                <w:szCs w:val="21"/>
              </w:rPr>
              <w:t>超过单日累计认/申购上限时，管理人有权拒绝投资者的认/申购申请。产品存续期</w:t>
            </w:r>
            <w:r>
              <w:rPr>
                <w:rFonts w:hint="default" w:ascii="楷体" w:hAnsi="楷体" w:eastAsia="楷体" w:cs="宋体"/>
                <w:spacing w:val="-2"/>
                <w:szCs w:val="21"/>
              </w:rPr>
              <w:t>内管理人有权根据实际情况调整</w:t>
            </w:r>
            <w:r>
              <w:rPr>
                <w:rFonts w:hint="eastAsia" w:ascii="楷体" w:hAnsi="楷体" w:eastAsia="楷体" w:cs="宋体"/>
                <w:spacing w:val="-2"/>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rPr>
              <w:t>1亿份。超过单个客户赎回限额时，管理人有权拒绝投资者的赎回申请。</w:t>
            </w:r>
            <w:r>
              <w:rPr>
                <w:rFonts w:hint="eastAsia" w:ascii="楷体" w:hAnsi="楷体" w:eastAsia="楷体" w:cs="宋体"/>
                <w:b/>
                <w:bCs/>
                <w:spacing w:val="-2"/>
                <w:sz w:val="21"/>
                <w:szCs w:val="21"/>
                <w:u w:val="single"/>
              </w:rPr>
              <w:t>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noWrap w:val="0"/>
            <w:vAlign w:val="center"/>
          </w:tcPr>
          <w:p>
            <w:pPr>
              <w:keepNext w:val="0"/>
              <w:keepLines w:val="0"/>
              <w:suppressLineNumbers w:val="0"/>
              <w:spacing w:before="0" w:beforeAutospacing="0" w:after="0" w:afterAutospacing="0"/>
              <w:ind w:left="0" w:right="115" w:rightChars="55"/>
              <w:rPr>
                <w:rFonts w:hint="default"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hint="default" w:ascii="楷体" w:hAnsi="楷体" w:eastAsia="楷体" w:cs="宋体"/>
                <w:spacing w:val="-2"/>
                <w:szCs w:val="21"/>
              </w:rPr>
              <w:t>延期</w:t>
            </w:r>
            <w:r>
              <w:rPr>
                <w:rFonts w:hint="eastAsia" w:ascii="楷体" w:hAnsi="楷体" w:eastAsia="楷体" w:cs="宋体"/>
                <w:spacing w:val="-2"/>
                <w:szCs w:val="21"/>
              </w:rPr>
              <w:t>办理</w:t>
            </w:r>
            <w:r>
              <w:rPr>
                <w:rFonts w:hint="default" w:ascii="楷体" w:hAnsi="楷体" w:eastAsia="楷体" w:cs="宋体"/>
                <w:spacing w:val="-2"/>
                <w:szCs w:val="21"/>
              </w:rPr>
              <w:t>巨额赎回</w:t>
            </w:r>
            <w:r>
              <w:rPr>
                <w:rFonts w:hint="eastAsia" w:ascii="楷体" w:hAnsi="楷体" w:eastAsia="楷体" w:cs="宋体"/>
                <w:spacing w:val="-2"/>
                <w:szCs w:val="21"/>
              </w:rPr>
              <w:t>等</w:t>
            </w:r>
            <w:r>
              <w:rPr>
                <w:rFonts w:hint="default" w:ascii="楷体" w:hAnsi="楷体" w:eastAsia="楷体" w:cs="宋体"/>
                <w:spacing w:val="-2"/>
                <w:szCs w:val="21"/>
              </w:rPr>
              <w:t>措施</w:t>
            </w:r>
            <w:r>
              <w:rPr>
                <w:rFonts w:hint="eastAsia" w:ascii="楷体" w:hAnsi="楷体" w:eastAsia="楷体" w:cs="宋体"/>
                <w:spacing w:val="-2"/>
                <w:szCs w:val="21"/>
              </w:rPr>
              <w:t>，产品管理人将在采取</w:t>
            </w:r>
            <w:r>
              <w:rPr>
                <w:rFonts w:hint="default" w:ascii="楷体" w:hAnsi="楷体" w:eastAsia="楷体" w:cs="宋体"/>
                <w:spacing w:val="-2"/>
                <w:szCs w:val="21"/>
              </w:rPr>
              <w:t>相关</w:t>
            </w:r>
            <w:r>
              <w:rPr>
                <w:rFonts w:hint="eastAsia" w:ascii="楷体" w:hAnsi="楷体" w:eastAsia="楷体" w:cs="宋体"/>
                <w:spacing w:val="-2"/>
                <w:szCs w:val="21"/>
              </w:rPr>
              <w:t>措施后3个工作日内进行信息披露。</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2.部分赎回</w:t>
            </w:r>
            <w:r>
              <w:rPr>
                <w:rFonts w:hint="default"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keepNext w:val="0"/>
              <w:keepLines w:val="0"/>
              <w:suppressLineNumbers w:val="0"/>
              <w:spacing w:before="0" w:beforeAutospacing="0" w:after="0" w:afterAutospacing="0"/>
              <w:ind w:left="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hint="default"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hint="default"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keepNext w:val="0"/>
              <w:keepLines w:val="0"/>
              <w:suppressLineNumbers w:val="0"/>
              <w:spacing w:before="0" w:beforeAutospacing="0" w:after="0" w:afterAutospacing="0"/>
              <w:ind w:left="0" w:right="53" w:rightChars="25"/>
              <w:rPr>
                <w:rFonts w:hint="eastAsia" w:ascii="楷体" w:hAnsi="楷体" w:eastAsia="楷体" w:cs="宋体"/>
                <w:b/>
                <w:spacing w:val="-2"/>
                <w:szCs w:val="21"/>
                <w:u w:val="single"/>
              </w:rPr>
            </w:pPr>
            <w:r>
              <w:rPr>
                <w:rFonts w:hint="eastAsia" w:ascii="楷体" w:hAnsi="楷体" w:eastAsia="楷体" w:cs="宋体"/>
                <w:spacing w:val="-2"/>
                <w:kern w:val="0"/>
                <w:szCs w:val="21"/>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pStyle w:val="34"/>
              <w:keepNext w:val="0"/>
              <w:keepLines w:val="0"/>
              <w:suppressLineNumbers w:val="0"/>
              <w:kinsoku w:val="0"/>
              <w:overflowPunct w:val="0"/>
              <w:spacing w:before="37" w:beforeAutospacing="0" w:after="0" w:afterAutospacing="0"/>
              <w:ind w:left="0" w:right="73" w:rightChars="35"/>
              <w:jc w:val="both"/>
              <w:rPr>
                <w:rFonts w:hint="eastAsia" w:ascii="楷体" w:hAnsi="楷体" w:eastAsia="楷体" w:cs="宋体"/>
                <w:spacing w:val="-2"/>
                <w:sz w:val="21"/>
                <w:szCs w:val="21"/>
              </w:rPr>
            </w:pPr>
            <w:r>
              <w:rPr>
                <w:rFonts w:hint="eastAsia" w:ascii="楷体" w:hAnsi="楷体" w:eastAsia="楷体" w:cs="宋体"/>
                <w:b/>
                <w:bCs/>
                <w:spacing w:val="-2"/>
                <w:sz w:val="21"/>
                <w:szCs w:val="21"/>
                <w:u w:val="single"/>
              </w:rPr>
              <w:t>苏银理财</w:t>
            </w:r>
            <w:r>
              <w:rPr>
                <w:rFonts w:hint="default"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hint="default"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hint="default"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hint="default"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业绩比较基准。本产品各份额因收取的销售服务费和投资管理费存在差异，业绩比较基准设置将有所不同。</w:t>
            </w:r>
            <w:r>
              <w:rPr>
                <w:rFonts w:hint="eastAsia" w:ascii="楷体" w:hAnsi="楷体" w:eastAsia="楷体" w:cs="宋体"/>
                <w:spacing w:val="-2"/>
                <w:sz w:val="21"/>
                <w:szCs w:val="21"/>
              </w:rPr>
              <w:t>各份额业绩比较基准如下：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757"/>
              <w:gridCol w:w="1757"/>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周期</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投资周期起始日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投资周期终止日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业绩比较基准</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1</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2022年1月6日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2022年7月19日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2022年7月20日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2023年2月2日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3.85%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C份额 3.95%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D份额 3.90%</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3</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2023年2月3日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2023年8月10日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3.05%-3.85%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4</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2023年8月11日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2024年2月19日</w:t>
                  </w:r>
                </w:p>
              </w:tc>
              <w:tc>
                <w:tcPr>
                  <w:tcW w:w="2041" w:type="dxa"/>
                  <w:vMerge w:val="restart"/>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rPr>
                    <w:t>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5</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2024年2月20日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2024年8月22日</w:t>
                  </w:r>
                </w:p>
              </w:tc>
              <w:tc>
                <w:tcPr>
                  <w:tcW w:w="2041" w:type="dxa"/>
                  <w:vMerge w:val="continue"/>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6</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2024年8月23日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2025年2月25日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2.50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2.5</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7</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2025年2月26日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2025年9月1日</w:t>
                  </w:r>
                </w:p>
              </w:tc>
              <w:tc>
                <w:tcPr>
                  <w:tcW w:w="2041" w:type="dxa"/>
                  <w:vMerge w:val="restart"/>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2.4</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8</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2025年9月2日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2026年3月9日</w:t>
                  </w:r>
                </w:p>
              </w:tc>
              <w:tc>
                <w:tcPr>
                  <w:tcW w:w="2041" w:type="dxa"/>
                  <w:vMerge w:val="continue"/>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p>
              </w:tc>
            </w:tr>
          </w:tbl>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keepNext w:val="0"/>
              <w:keepLines w:val="0"/>
              <w:suppressLineNumbers w:val="0"/>
              <w:spacing w:before="0" w:beforeAutospacing="0" w:after="0" w:afterAutospacing="0"/>
              <w:ind w:left="59" w:right="73" w:rightChars="35"/>
              <w:rPr>
                <w:rFonts w:hint="default" w:ascii="楷体" w:hAnsi="楷体" w:eastAsia="楷体" w:cs="宋体"/>
                <w:spacing w:val="-2"/>
                <w:szCs w:val="21"/>
              </w:rPr>
            </w:pPr>
            <w:r>
              <w:rPr>
                <w:rFonts w:hint="eastAsia" w:ascii="楷体" w:hAnsi="楷体" w:eastAsia="楷体" w:cs="宋体"/>
                <w:spacing w:val="-2"/>
                <w:szCs w:val="21"/>
              </w:rPr>
              <w:t>2.销售服务费率：A份额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0.15</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default" w:ascii="楷体" w:hAnsi="楷体" w:eastAsia="楷体" w:cs="宋体"/>
                <w:spacing w:val="-2"/>
                <w:szCs w:val="21"/>
              </w:rPr>
              <w:t>。</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hint="default" w:ascii="楷体" w:hAnsi="楷体" w:eastAsia="楷体" w:cs="宋体"/>
                <w:spacing w:val="-2"/>
                <w:szCs w:val="21"/>
              </w:rPr>
              <w:t>0.80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0.75</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6</w:t>
            </w:r>
            <w:r>
              <w:rPr>
                <w:rFonts w:hint="default" w:ascii="楷体" w:hAnsi="楷体" w:eastAsia="楷体" w:cs="宋体"/>
                <w:spacing w:val="-2"/>
                <w:szCs w:val="21"/>
              </w:rPr>
              <w:t>5</w:t>
            </w:r>
            <w:r>
              <w:rPr>
                <w:rFonts w:hint="eastAsia" w:ascii="楷体" w:hAnsi="楷体" w:eastAsia="楷体" w:cs="宋体"/>
                <w:spacing w:val="-2"/>
                <w:szCs w:val="21"/>
              </w:rPr>
              <w:t>%/年，</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0.80</w:t>
            </w:r>
            <w:r>
              <w:rPr>
                <w:rFonts w:hint="eastAsia" w:ascii="楷体" w:hAnsi="楷体" w:eastAsia="楷体" w:cs="宋体"/>
                <w:spacing w:val="-2"/>
                <w:szCs w:val="21"/>
              </w:rPr>
              <w:t>%/年。</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highlight w:val="none"/>
              </w:rPr>
            </w:pPr>
            <w:r>
              <w:rPr>
                <w:rFonts w:hint="eastAsia" w:ascii="楷体" w:hAnsi="楷体" w:eastAsia="楷体" w:cs="宋体"/>
                <w:spacing w:val="-2"/>
                <w:szCs w:val="21"/>
              </w:rPr>
              <w:t>4.超额业绩报酬：</w:t>
            </w:r>
            <w:r>
              <w:rPr>
                <w:rFonts w:hint="eastAsia" w:ascii="楷体" w:hAnsi="楷体" w:eastAsia="楷体" w:cs="宋体"/>
                <w:spacing w:val="-2"/>
                <w:szCs w:val="21"/>
                <w:highlight w:val="none"/>
              </w:rPr>
              <w:t>管理人按投资周期收取超额业绩报酬。假设单一投资周期的各份额实际年化投资收益在扣除托管费、销售服务费、投资管理费以及运作产品所必须缴纳的税费后为R：</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highlight w:val="none"/>
              </w:rPr>
              <w:t>若</w:t>
            </w:r>
            <w:r>
              <w:rPr>
                <w:rFonts w:hint="eastAsia" w:ascii="楷体" w:hAnsi="楷体" w:eastAsia="楷体" w:cs="宋体"/>
                <w:spacing w:val="-2"/>
                <w:szCs w:val="21"/>
              </w:rPr>
              <w:t>R&lt;业绩比较基准下限+（业绩比较基准上限-业绩比较基准下限）*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5%，管理人无超额业绩报酬；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5%≤R&lt;业绩比较基准上限，管理人对超出【业绩比较基准下限+（业绩比较基准上限-业绩比较基准下限）*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w:t>
            </w:r>
            <w:r>
              <w:rPr>
                <w:rFonts w:hint="eastAsia" w:ascii="楷体" w:hAnsi="楷体" w:eastAsia="楷体" w:cs="宋体"/>
                <w:spacing w:val="-2"/>
                <w:szCs w:val="21"/>
                <w:lang w:val="en-US" w:eastAsia="zh-CN"/>
              </w:rPr>
              <w:t>的</w:t>
            </w:r>
            <w:r>
              <w:rPr>
                <w:rFonts w:hint="eastAsia" w:ascii="楷体" w:hAnsi="楷体" w:eastAsia="楷体" w:cs="宋体"/>
                <w:spacing w:val="-2"/>
                <w:szCs w:val="21"/>
              </w:rPr>
              <w:t>部分收取40%的超额业绩报酬；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若R≥业绩比较基准上限，管理人对【业绩比较基准下限+（业绩比较基准上限-业绩比较基准下限）*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5%】与业绩比较基准</w:t>
            </w:r>
            <w:r>
              <w:rPr>
                <w:rFonts w:hint="eastAsia" w:ascii="楷体" w:hAnsi="楷体" w:eastAsia="楷体" w:cs="宋体"/>
                <w:spacing w:val="-2"/>
                <w:szCs w:val="21"/>
                <w:lang w:val="en-US" w:eastAsia="zh-CN"/>
              </w:rPr>
              <w:t>上</w:t>
            </w:r>
            <w:r>
              <w:rPr>
                <w:rFonts w:hint="eastAsia" w:ascii="楷体" w:hAnsi="楷体" w:eastAsia="楷体" w:cs="宋体"/>
                <w:spacing w:val="-2"/>
                <w:szCs w:val="21"/>
              </w:rPr>
              <w:t>限之间的部分，收取40%的超额业绩报酬；管理人对超出业绩比较基准上限的部分，收取60%的超额业绩报酬。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keepNext w:val="0"/>
              <w:keepLines w:val="0"/>
              <w:suppressLineNumbers w:val="0"/>
              <w:spacing w:before="0" w:beforeAutospacing="0" w:after="0" w:afterAutospacing="0"/>
              <w:ind w:left="59" w:right="73" w:rightChars="35"/>
              <w:rPr>
                <w:rFonts w:hint="default" w:ascii="楷体" w:hAnsi="楷体" w:eastAsia="楷体"/>
                <w:sz w:val="24"/>
                <w:szCs w:val="24"/>
              </w:rPr>
            </w:pPr>
            <w:r>
              <w:rPr>
                <w:rFonts w:hint="eastAsia" w:ascii="楷体" w:hAnsi="楷体" w:eastAsia="楷体" w:cs="宋体"/>
                <w:spacing w:val="-2"/>
                <w:szCs w:val="21"/>
              </w:rPr>
              <w:t>产品存续期内苏银理财可</w:t>
            </w:r>
            <w:r>
              <w:rPr>
                <w:rFonts w:hint="eastAsia" w:ascii="楷体" w:hAnsi="楷体" w:eastAsia="楷体" w:cs="宋体"/>
                <w:spacing w:val="-2"/>
                <w:szCs w:val="21"/>
                <w:highlight w:val="none"/>
              </w:rPr>
              <w:t>对</w:t>
            </w:r>
            <w:r>
              <w:rPr>
                <w:rFonts w:hint="eastAsia" w:ascii="楷体" w:hAnsi="楷体" w:eastAsia="楷体" w:cs="宋体"/>
                <w:spacing w:val="-2"/>
                <w:szCs w:val="21"/>
                <w:highlight w:val="none"/>
                <w:lang w:val="en-US" w:eastAsia="zh-CN"/>
              </w:rPr>
              <w:t>费用进行调整</w:t>
            </w:r>
            <w:r>
              <w:rPr>
                <w:rFonts w:hint="eastAsia" w:ascii="楷体" w:hAnsi="楷体" w:eastAsia="楷体" w:cs="宋体"/>
                <w:spacing w:val="-2"/>
                <w:szCs w:val="21"/>
                <w:highlight w:val="none"/>
              </w:rPr>
              <w:t>，实</w:t>
            </w:r>
            <w:r>
              <w:rPr>
                <w:rFonts w:hint="eastAsia" w:ascii="楷体" w:hAnsi="楷体" w:eastAsia="楷体" w:cs="宋体"/>
                <w:spacing w:val="-2"/>
                <w:szCs w:val="21"/>
              </w:rPr>
              <w:t>际收取费率以管理人公告为准。</w:t>
            </w:r>
            <w:r>
              <w:rPr>
                <w:rFonts w:hint="eastAsia" w:ascii="楷体" w:hAnsi="楷体" w:eastAsia="楷体" w:cs="宋体"/>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本产品每日估值，每个开放日结束后2个工作日内通过本理财产品说明书约定方式披露上一投资周期终止日的单位净值、份额累计净值、认/申购价格和赎回价格。详见下文“十一、产品估值”。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收益分配</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hint="default" w:ascii="楷体" w:hAnsi="楷体" w:eastAsia="楷体" w:cs="宋体"/>
                <w:spacing w:val="-2"/>
                <w:szCs w:val="21"/>
              </w:rPr>
              <w:t>详见下文</w:t>
            </w:r>
            <w:r>
              <w:rPr>
                <w:rFonts w:hint="eastAsia" w:ascii="楷体" w:hAnsi="楷体" w:eastAsia="楷体" w:cs="宋体"/>
                <w:spacing w:val="-2"/>
                <w:szCs w:val="21"/>
              </w:rPr>
              <w:t>“九、收益分配”。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w:t>
      </w:r>
      <w:r>
        <w:rPr>
          <w:rFonts w:hint="eastAsia" w:ascii="楷体" w:hAnsi="楷体" w:eastAsia="楷体"/>
          <w:sz w:val="24"/>
          <w:szCs w:val="24"/>
          <w:highlight w:val="none"/>
        </w:rPr>
        <w:t>任公司，苏银理财系江苏银行股份有限公司全资控股的银行理财子公司。公司成立于</w:t>
      </w:r>
      <w:r>
        <w:rPr>
          <w:rFonts w:hint="eastAsia" w:ascii="楷体" w:hAnsi="楷体" w:eastAsia="楷体"/>
          <w:sz w:val="24"/>
          <w:szCs w:val="24"/>
        </w:rPr>
        <w:t>2020年8月，注册资本为20亿元人民币，全部由江苏银行股份有限公司以货币资金认购并一次性足额缴纳。公司注册地为江苏省南京市。公司主要业务范</w:t>
      </w:r>
      <w:bookmarkStart w:id="0" w:name="_GoBack"/>
      <w:bookmarkEnd w:id="0"/>
      <w:r>
        <w:rPr>
          <w:rFonts w:hint="eastAsia" w:ascii="楷体" w:hAnsi="楷体" w:eastAsia="楷体"/>
          <w:sz w:val="24"/>
          <w:szCs w:val="24"/>
        </w:rPr>
        <w:t>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本理财产品合同</w:t>
      </w:r>
      <w:r>
        <w:rPr>
          <w:rFonts w:hint="eastAsia" w:ascii="楷体" w:hAnsi="楷体" w:eastAsia="楷体"/>
          <w:sz w:val="24"/>
          <w:szCs w:val="24"/>
        </w:rPr>
        <w:t>的</w:t>
      </w:r>
      <w:r>
        <w:rPr>
          <w:rFonts w:ascii="楷体" w:hAnsi="楷体" w:eastAsia="楷体"/>
          <w:sz w:val="24"/>
          <w:szCs w:val="24"/>
        </w:rPr>
        <w:t>约定，管理、运用和处分理财计划资金。</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w:t>
      </w:r>
      <w:r>
        <w:rPr>
          <w:rFonts w:hint="eastAsia" w:ascii="楷体" w:hAnsi="楷体" w:eastAsia="楷体"/>
          <w:sz w:val="24"/>
          <w:szCs w:val="24"/>
        </w:rPr>
        <w:t>产品</w:t>
      </w:r>
      <w:r>
        <w:rPr>
          <w:rFonts w:ascii="楷体" w:hAnsi="楷体" w:eastAsia="楷体"/>
          <w:sz w:val="24"/>
          <w:szCs w:val="24"/>
        </w:rPr>
        <w:t>合同的约定，及时、足额获得投资管理费。</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有权根据本理财产品合同的约定提前终止</w:t>
      </w:r>
      <w:r>
        <w:rPr>
          <w:rFonts w:hint="eastAsia" w:ascii="楷体" w:hAnsi="楷体" w:eastAsia="楷体"/>
          <w:sz w:val="24"/>
          <w:szCs w:val="24"/>
        </w:rPr>
        <w:t>或</w:t>
      </w:r>
      <w:r>
        <w:rPr>
          <w:rFonts w:ascii="楷体" w:hAnsi="楷体" w:eastAsia="楷体"/>
          <w:sz w:val="24"/>
          <w:szCs w:val="24"/>
        </w:rPr>
        <w:t>延长</w:t>
      </w:r>
      <w:r>
        <w:rPr>
          <w:rFonts w:hint="eastAsia" w:ascii="楷体" w:hAnsi="楷体" w:eastAsia="楷体"/>
          <w:sz w:val="24"/>
          <w:szCs w:val="24"/>
        </w:rPr>
        <w:t>本</w:t>
      </w:r>
      <w:r>
        <w:rPr>
          <w:rFonts w:ascii="楷体" w:hAnsi="楷体" w:eastAsia="楷体"/>
          <w:sz w:val="24"/>
          <w:szCs w:val="24"/>
        </w:rPr>
        <w:t>理财产品的期限。</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w:t>
      </w:r>
      <w:r>
        <w:rPr>
          <w:rFonts w:hint="eastAsia" w:ascii="楷体" w:hAnsi="楷体" w:eastAsia="楷体"/>
          <w:sz w:val="24"/>
          <w:szCs w:val="24"/>
        </w:rPr>
        <w:t>调整</w:t>
      </w:r>
      <w:r>
        <w:rPr>
          <w:rFonts w:ascii="楷体" w:hAnsi="楷体" w:eastAsia="楷体"/>
          <w:sz w:val="24"/>
          <w:szCs w:val="24"/>
        </w:rPr>
        <w:t>本</w:t>
      </w:r>
      <w:r>
        <w:rPr>
          <w:rFonts w:hint="eastAsia" w:ascii="楷体" w:hAnsi="楷体" w:eastAsia="楷体"/>
          <w:sz w:val="24"/>
          <w:szCs w:val="24"/>
        </w:rPr>
        <w:t>理财</w:t>
      </w:r>
      <w:r>
        <w:rPr>
          <w:rFonts w:ascii="楷体" w:hAnsi="楷体" w:eastAsia="楷体"/>
          <w:sz w:val="24"/>
          <w:szCs w:val="24"/>
        </w:rPr>
        <w:t>产品的认购规模</w:t>
      </w:r>
      <w:r>
        <w:rPr>
          <w:rFonts w:hint="eastAsia" w:ascii="楷体" w:hAnsi="楷体" w:eastAsia="楷体"/>
          <w:sz w:val="24"/>
          <w:szCs w:val="24"/>
        </w:rPr>
        <w:t>上限</w:t>
      </w:r>
      <w:r>
        <w:rPr>
          <w:rFonts w:ascii="楷体" w:hAnsi="楷体" w:eastAsia="楷体"/>
          <w:sz w:val="24"/>
          <w:szCs w:val="24"/>
        </w:rPr>
        <w:t>、认购起点、</w:t>
      </w:r>
      <w:r>
        <w:rPr>
          <w:rFonts w:hint="eastAsia" w:ascii="楷体" w:hAnsi="楷体" w:eastAsia="楷体"/>
          <w:sz w:val="24"/>
          <w:szCs w:val="24"/>
        </w:rPr>
        <w:t>认购</w:t>
      </w:r>
      <w:r>
        <w:rPr>
          <w:rFonts w:ascii="楷体" w:hAnsi="楷体" w:eastAsia="楷体"/>
          <w:sz w:val="24"/>
          <w:szCs w:val="24"/>
        </w:rPr>
        <w:t>金额上限、认购资金的最</w:t>
      </w:r>
      <w:r>
        <w:rPr>
          <w:rFonts w:hint="eastAsia" w:ascii="楷体" w:hAnsi="楷体" w:eastAsia="楷体"/>
          <w:sz w:val="24"/>
          <w:szCs w:val="24"/>
          <w:lang w:val="en-US" w:eastAsia="zh-CN"/>
        </w:rPr>
        <w:t>低</w:t>
      </w:r>
      <w:r>
        <w:rPr>
          <w:rFonts w:ascii="楷体" w:hAnsi="楷体" w:eastAsia="楷体"/>
          <w:sz w:val="24"/>
          <w:szCs w:val="24"/>
        </w:rPr>
        <w:t>金额等</w:t>
      </w:r>
      <w:r>
        <w:rPr>
          <w:rFonts w:hint="eastAsia" w:ascii="楷体" w:hAnsi="楷体" w:eastAsia="楷体"/>
          <w:sz w:val="24"/>
          <w:szCs w:val="24"/>
        </w:rPr>
        <w:t>要素</w:t>
      </w:r>
      <w:r>
        <w:rPr>
          <w:rFonts w:ascii="楷体" w:hAnsi="楷体" w:eastAsia="楷体"/>
          <w:sz w:val="24"/>
          <w:szCs w:val="24"/>
        </w:rPr>
        <w:t>。</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有权依照法律规定和监管机构的要求将投资者的信息向有权部门或相关机构披露。</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理财产品投资管理人的名义，依照法律法规相关规定以及为理财产品的利益，对被投资的各类基金、公司/</w:t>
      </w:r>
      <w:r>
        <w:rPr>
          <w:rFonts w:hint="eastAsia" w:ascii="楷体" w:hAnsi="楷体" w:eastAsia="楷体"/>
          <w:sz w:val="24"/>
          <w:szCs w:val="24"/>
        </w:rPr>
        <w:t>企业</w:t>
      </w:r>
      <w:r>
        <w:rPr>
          <w:rFonts w:ascii="楷体" w:hAnsi="楷体" w:eastAsia="楷体"/>
          <w:sz w:val="24"/>
          <w:szCs w:val="24"/>
        </w:rPr>
        <w:t>等</w:t>
      </w:r>
      <w:r>
        <w:rPr>
          <w:rFonts w:hint="eastAsia" w:ascii="楷体" w:hAnsi="楷体" w:eastAsia="楷体"/>
          <w:sz w:val="24"/>
          <w:szCs w:val="24"/>
        </w:rPr>
        <w:t>行使</w:t>
      </w:r>
      <w:r>
        <w:rPr>
          <w:rFonts w:ascii="楷体" w:hAnsi="楷体" w:eastAsia="楷体"/>
          <w:sz w:val="24"/>
          <w:szCs w:val="24"/>
        </w:rPr>
        <w:t>出资人</w:t>
      </w:r>
      <w:r>
        <w:rPr>
          <w:rFonts w:hint="eastAsia" w:ascii="楷体" w:hAnsi="楷体" w:eastAsia="楷体"/>
          <w:sz w:val="24"/>
          <w:szCs w:val="24"/>
        </w:rPr>
        <w:t>/投资者</w:t>
      </w:r>
      <w:r>
        <w:rPr>
          <w:rFonts w:ascii="楷体" w:hAnsi="楷体" w:eastAsia="楷体"/>
          <w:sz w:val="24"/>
          <w:szCs w:val="24"/>
        </w:rPr>
        <w:t>权利（</w:t>
      </w:r>
      <w:r>
        <w:rPr>
          <w:rFonts w:hint="eastAsia" w:ascii="楷体" w:hAnsi="楷体" w:eastAsia="楷体"/>
          <w:sz w:val="24"/>
          <w:szCs w:val="24"/>
        </w:rPr>
        <w:t>包括</w:t>
      </w:r>
      <w:r>
        <w:rPr>
          <w:rFonts w:ascii="楷体" w:hAnsi="楷体" w:eastAsia="楷体"/>
          <w:sz w:val="24"/>
          <w:szCs w:val="24"/>
        </w:rPr>
        <w:t>但不限于表决投票的权利）</w:t>
      </w:r>
      <w:r>
        <w:rPr>
          <w:rFonts w:hint="eastAsia" w:ascii="楷体" w:hAnsi="楷体" w:eastAsia="楷体"/>
          <w:sz w:val="24"/>
          <w:szCs w:val="24"/>
        </w:rPr>
        <w:t>以及行使</w:t>
      </w:r>
      <w:r>
        <w:rPr>
          <w:rFonts w:ascii="楷体" w:hAnsi="楷体" w:eastAsia="楷体"/>
          <w:sz w:val="24"/>
          <w:szCs w:val="24"/>
        </w:rPr>
        <w:t>因理财产品投资于证券类基础资产（</w:t>
      </w:r>
      <w:r>
        <w:rPr>
          <w:rFonts w:hint="eastAsia" w:ascii="楷体" w:hAnsi="楷体" w:eastAsia="楷体"/>
          <w:sz w:val="24"/>
          <w:szCs w:val="24"/>
        </w:rPr>
        <w:t>含</w:t>
      </w:r>
      <w:r>
        <w:rPr>
          <w:rFonts w:ascii="楷体" w:hAnsi="楷体" w:eastAsia="楷体"/>
          <w:sz w:val="24"/>
          <w:szCs w:val="24"/>
        </w:rPr>
        <w:t>债券）</w:t>
      </w:r>
      <w:r>
        <w:rPr>
          <w:rFonts w:hint="eastAsia" w:ascii="楷体" w:hAnsi="楷体" w:eastAsia="楷体"/>
          <w:sz w:val="24"/>
          <w:szCs w:val="24"/>
        </w:rPr>
        <w:t>或</w:t>
      </w:r>
      <w:r>
        <w:rPr>
          <w:rFonts w:ascii="楷体" w:hAnsi="楷体" w:eastAsia="楷体"/>
          <w:sz w:val="24"/>
          <w:szCs w:val="24"/>
        </w:rPr>
        <w:t>其他基础资产（</w:t>
      </w:r>
      <w:r>
        <w:rPr>
          <w:rFonts w:hint="eastAsia" w:ascii="楷体" w:hAnsi="楷体" w:eastAsia="楷体"/>
          <w:sz w:val="24"/>
          <w:szCs w:val="24"/>
        </w:rPr>
        <w:t>包括</w:t>
      </w:r>
      <w:r>
        <w:rPr>
          <w:rFonts w:ascii="楷体" w:hAnsi="楷体" w:eastAsia="楷体"/>
          <w:sz w:val="24"/>
          <w:szCs w:val="24"/>
        </w:rPr>
        <w:t>但不限于债权类资产）</w:t>
      </w:r>
      <w:r>
        <w:rPr>
          <w:rFonts w:hint="eastAsia" w:ascii="楷体" w:hAnsi="楷体" w:eastAsia="楷体"/>
          <w:sz w:val="24"/>
          <w:szCs w:val="24"/>
        </w:rPr>
        <w:t>所产生</w:t>
      </w:r>
      <w:r>
        <w:rPr>
          <w:rFonts w:ascii="楷体" w:hAnsi="楷体" w:eastAsia="楷体"/>
          <w:sz w:val="24"/>
          <w:szCs w:val="24"/>
        </w:rPr>
        <w:t>的相关权利。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w:t>
      </w:r>
      <w:r>
        <w:rPr>
          <w:rFonts w:hint="eastAsia" w:ascii="楷体" w:hAnsi="楷体" w:eastAsia="楷体"/>
          <w:sz w:val="24"/>
          <w:szCs w:val="24"/>
        </w:rPr>
        <w:t>法律法规相关规定以及代表理财产品份额持有人的利益行使代为追索的权利（包括但不限于提起诉讼/仲裁、申请保全/执行的权利）或者实施其他法律行为。</w:t>
      </w:r>
    </w:p>
    <w:p>
      <w:pPr>
        <w:numPr>
          <w:ilvl w:val="0"/>
          <w:numId w:val="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法律法规、监管政策和本理财计划文件约定的其他权利。</w:t>
      </w:r>
    </w:p>
    <w:p>
      <w:pPr>
        <w:numPr>
          <w:ilvl w:val="0"/>
          <w:numId w:val="2"/>
        </w:numPr>
        <w:tabs>
          <w:tab w:val="left" w:pos="1134"/>
        </w:tabs>
        <w:ind w:firstLine="562" w:firstLineChars="200"/>
        <w:outlineLvl w:val="1"/>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none"/>
          <w:u w:val="none"/>
          <w:lang w:val="en-US" w:eastAsia="zh-CN"/>
        </w:rPr>
      </w:pPr>
      <w:r>
        <w:rPr>
          <w:rFonts w:hint="eastAsia" w:ascii="楷体" w:hAnsi="楷体" w:eastAsia="楷体"/>
          <w:sz w:val="24"/>
          <w:szCs w:val="24"/>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highlight w:val="none"/>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6"/>
        <w:gridCol w:w="3616"/>
        <w:gridCol w:w="3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bottom"/>
              <w:rPr>
                <w:rFonts w:hint="default"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份额</w:t>
            </w: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A份额</w:t>
            </w:r>
          </w:p>
        </w:tc>
        <w:tc>
          <w:tcPr>
            <w:tcW w:w="3616"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上海农村商业银行股份有限公司</w:t>
            </w:r>
          </w:p>
        </w:tc>
        <w:tc>
          <w:tcPr>
            <w:tcW w:w="3816"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宁波东海银行股份有限公司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江苏溧水农村商业银行股份有限公司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江苏扬州农村商业银行股份有限公司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上海银行股份有限公司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齐鲁银行股份有限公司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九江银行股份有限公司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江苏阜宁农村商业银行股份有限公司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江苏沭阳农村商业银行股份有限公司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江苏丹阳农村商业银行股份有限公司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江苏镇江农村商业银行股份有限公司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江苏新沂农村商业银行股份有限公司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江苏大丰农村商业银行股份有限公司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江苏东台农村商业银行股份有限公司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江苏泰兴农村商业银行股份有限公司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江苏扬中农村商业银行股份有限公司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江苏如东农村商业银行股份有限公司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江苏靖江农村商业银行股份有限公司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徐州农村商业银行股份有限公司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江苏张家港农村商业银行股份有限公司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江苏南通农村商业银行股份有限公司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江苏洪泽农村商业银行股份有限公司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江苏邳州农村商业银行股份有限公司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江苏海安农村商业银行股份有限公司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江苏淮安农村商业银行股份有限公司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江苏如皋农村商业银行股份有限公司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江苏江阴农村商业银行股份有限公司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江苏涟水农村商业银行股份有限公司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江苏高邮农村商业银行股份有限公司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江苏句容农村商业银行股份有限公司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江苏启东农村商业银行股份有限公司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江苏盱眙农村商业银行股份有限公司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江苏海门农村商业银行股份有限公司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江苏宜兴农村商业银行股份有限公司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3816" w:type="dxa"/>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C份额</w:t>
            </w:r>
          </w:p>
        </w:tc>
        <w:tc>
          <w:tcPr>
            <w:tcW w:w="3616"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3816"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江苏姜堰农村商业银行股份有限公司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c>
          <w:tcPr>
            <w:tcW w:w="3816" w:type="dxa"/>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D份额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宁波东海银行股份有限公司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F份额</w:t>
            </w:r>
          </w:p>
        </w:tc>
        <w:tc>
          <w:tcPr>
            <w:tcW w:w="3616"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苏州银行股份有限公司</w:t>
            </w:r>
          </w:p>
        </w:tc>
        <w:tc>
          <w:tcPr>
            <w:tcW w:w="3816"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北京农村商业银行股份有限公司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山西银行股份有限公司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浙江绍兴瑞丰农村商业银行股份有限公司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浙江江山农村商业银行股份有限公司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浙江龙湾农村商业银行股份有限公司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浙江萧山农村商业银行股份有限公司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徽商银行股份有限公司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浙江安吉农村商业银行股份有限公司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浙商银行股份有限公司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广州农村商业银行股份有限公司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浙江温州鹿城农村商业银行股份有限公司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华侨银行有限公司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浙江长兴农村商业银行股份有限公司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莱商银行股份有限公司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广州银行股份有限公司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浙江平湖农村商业银行股份有限公司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交通银行股份有限公司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中邮邮惠万家银行有限责任公司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浙江瑞安农村商业银行股份有限公司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浙江德清农村商业银行股份有限公司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潍坊银行股份有限公司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浙江乐清农村商业银行股份有限公司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浙江新昌农村商业银行股份有限公司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default"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东营银行股份有限公司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江苏江南农村商业银行股份有限公司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福建海峡银行股份有限公司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浙江义乌农村商业银行股份有限公司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九江银行股份有限公司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3816" w:type="dxa"/>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883"/>
        <w:gridCol w:w="4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序号</w:t>
            </w:r>
          </w:p>
        </w:tc>
        <w:tc>
          <w:tcPr>
            <w:tcW w:w="2883"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投资合作机构</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lang w:val="en-US" w:eastAsia="zh-CN"/>
              </w:rPr>
              <w:t>苏豪</w:t>
            </w:r>
            <w:r>
              <w:rPr>
                <w:rFonts w:hint="eastAsia" w:ascii="楷体" w:hAnsi="楷体" w:eastAsia="楷体"/>
                <w:b w:val="0"/>
                <w:bCs w:val="0"/>
                <w:sz w:val="20"/>
                <w:szCs w:val="20"/>
              </w:rPr>
              <w:t>弘业期货股份有限公司</w:t>
            </w:r>
          </w:p>
        </w:tc>
        <w:tc>
          <w:tcPr>
            <w:tcW w:w="4975" w:type="dxa"/>
            <w:noWrap w:val="0"/>
            <w:vAlign w:val="top"/>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楷体" w:hAnsi="楷体" w:eastAsia="楷体"/>
                <w:b w:val="0"/>
                <w:bCs w:val="0"/>
                <w:sz w:val="20"/>
                <w:szCs w:val="20"/>
                <w:vertAlign w:val="baseline"/>
              </w:rPr>
            </w:pPr>
            <w:r>
              <w:rPr>
                <w:rFonts w:hint="default" w:ascii="楷体" w:hAnsi="楷体" w:eastAsia="楷体" w:cs="Times New Roman"/>
                <w:b w:val="0"/>
                <w:bCs w:val="0"/>
                <w:kern w:val="2"/>
                <w:sz w:val="20"/>
                <w:szCs w:val="20"/>
                <w:lang w:val="en-US" w:eastAsia="zh-CN" w:bidi="ar-SA"/>
              </w:rPr>
              <w:t>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r>
              <w:rPr>
                <w:rFonts w:hint="eastAsia" w:ascii="楷体" w:hAnsi="楷体" w:eastAsia="楷体"/>
                <w:b w:val="0"/>
                <w:bCs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2</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3</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b w:val="0"/>
                <w:bCs w:val="0"/>
                <w:sz w:val="20"/>
                <w:szCs w:val="20"/>
                <w:vertAlign w:val="baseline"/>
              </w:rPr>
            </w:pPr>
            <w:r>
              <w:rPr>
                <w:rFonts w:hint="default" w:ascii="楷体" w:hAnsi="楷体" w:eastAsia="楷体"/>
                <w:b w:val="0"/>
                <w:bCs w:val="0"/>
                <w:sz w:val="20"/>
                <w:szCs w:val="18"/>
              </w:rPr>
              <w:t>创金合信基金管理有限公司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b w:val="0"/>
                <w:bCs w:val="0"/>
                <w:sz w:val="20"/>
                <w:szCs w:val="20"/>
                <w:vertAlign w:val="baseline"/>
              </w:rPr>
            </w:pPr>
            <w:r>
              <w:rPr>
                <w:rFonts w:hint="default" w:ascii="楷体" w:hAnsi="楷体" w:eastAsia="楷体"/>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4</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18"/>
              </w:rPr>
            </w:pPr>
            <w:r>
              <w:rPr>
                <w:rFonts w:hint="eastAsia" w:ascii="楷体" w:hAnsi="楷体" w:eastAsia="楷体"/>
                <w:b w:val="0"/>
                <w:bCs w:val="0"/>
                <w:sz w:val="20"/>
                <w:szCs w:val="18"/>
              </w:rPr>
              <w:t>华鑫国际信托有限公司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华鑫国际信托有限公司于2010年2月获得中国银行业监督管理委员会批准重新登记，并于同年3月正式挂牌开业，实际控制人为中国华电集团有限公司，注册资本73.95亿元。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5</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18"/>
              </w:rPr>
            </w:pPr>
            <w:r>
              <w:rPr>
                <w:rFonts w:hint="eastAsia" w:ascii="楷体" w:hAnsi="楷体" w:eastAsia="楷体"/>
                <w:b w:val="0"/>
                <w:bCs w:val="0"/>
                <w:sz w:val="20"/>
                <w:szCs w:val="18"/>
              </w:rPr>
              <w:t>中国国际金融股份有限公司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中国国际金融股份有限公司于1995年7月31日成立，实际控制人为中央汇金投资有限责任公司，注册资本4,827,256,868元。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6</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东方财富证券股份有限公司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东方财富证券股份有限公司是东方财富信息股份有限公司旗下的持牌证券公司，总部位于上海，注册资本121亿元。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7</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18"/>
                <w:lang w:val="en-US" w:eastAsia="zh-CN"/>
              </w:rPr>
            </w:pPr>
            <w:r>
              <w:rPr>
                <w:rFonts w:hint="eastAsia" w:ascii="楷体" w:hAnsi="楷体" w:eastAsia="楷体" w:cs="Times New Roman"/>
                <w:b w:val="0"/>
                <w:bCs w:val="0"/>
                <w:sz w:val="20"/>
                <w:szCs w:val="20"/>
              </w:rPr>
              <w:t>中粮信托有限责任公司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中粮信托有限责任公司成立于2009年7月27日，控股股东为中粮资本投资有限公司，实际控制人为国务院国资委，注册资本283,095.4182万元人民币。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8</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国投泰康</w:t>
            </w:r>
            <w:r>
              <w:rPr>
                <w:rFonts w:hint="eastAsia" w:ascii="楷体" w:hAnsi="楷体" w:eastAsia="楷体"/>
                <w:b w:val="0"/>
                <w:bCs w:val="0"/>
                <w:sz w:val="20"/>
                <w:szCs w:val="18"/>
              </w:rPr>
              <w:t>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国投泰康信托有限公司是经中国人民银行批准设立、国家金融监督管理总局监管的非银行金融机构，注册资本金26.705 亿元人民币。公司主要股东为:国投资本控股有限公司，出资比例61.29%；泰康保险集团股份有限公司，出资比例27.06%；悦达资本股份有限公司，出资比例8.20%；泰康资产管理有限责任公司，出资比例 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9</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陆家嘴国际信托有限公司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陆家嘴国际信托有限公司是上海陆家嘴金融发展有限公司控股的信托机构，注册资本为104亿元。公司注册地为青岛，在部分城市设立业务团队。陆家嘴信托由陆金发持股71.606%，青岛国信金融控股有限公司持股 18.282%，青岛国信发展（集团）有限责任公司持股10.112%，实际控制人是上海市浦东新区国有资产管理委员会。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10</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华鑫证券有限责任公司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华鑫证券有限责任公司是经中国证券监督管理委员会批准于2001年3月在深圳市注册成立的全国性综合类证券经营机构，注册资本36亿元人民币。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11</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国联证券资产管理有限公司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国联证券资产管理有限公司（以下简称“公司”或“国联证券资管”）为国联民生证券股份有限公司全资子公司，2023年09月20日完成注册登记，2024年05月23日正式揭牌运营。公司注册地在青岛，注册资本100000万元人民币。</w:t>
            </w:r>
          </w:p>
        </w:tc>
      </w:tr>
    </w:tbl>
    <w:p>
      <w:pPr>
        <w:ind w:firstLine="480" w:firstLine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参与主体用语</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★管理人/产品管理人/理财产品管理人：指苏银理财有限责任公司（本文简称“苏银理财”）。</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5"/>
        </w:numPr>
        <w:tabs>
          <w:tab w:val="left" w:pos="728"/>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投资者：指符合相关法律法规、监管规定要求的，可以购买理财产品份额的自然人和法人。</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理财产品用语</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理财产品</w:t>
      </w:r>
      <w:r>
        <w:rPr>
          <w:rFonts w:ascii="楷体" w:hAnsi="楷体" w:eastAsia="楷体"/>
          <w:sz w:val="24"/>
          <w:szCs w:val="24"/>
        </w:rPr>
        <w:t>/</w:t>
      </w:r>
      <w:r>
        <w:rPr>
          <w:rFonts w:hint="eastAsia" w:ascii="楷体" w:hAnsi="楷体" w:eastAsia="楷体"/>
          <w:sz w:val="24"/>
          <w:szCs w:val="24"/>
        </w:rPr>
        <w:t>产品：指苏银理财按照约定条件和实际投资收益情况向投资者支付收益、不保证本金支付和收益水平的非保本理财产品。</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本理财产品</w:t>
      </w:r>
      <w:r>
        <w:rPr>
          <w:rFonts w:ascii="楷体" w:hAnsi="楷体" w:eastAsia="楷体"/>
          <w:sz w:val="24"/>
          <w:szCs w:val="24"/>
        </w:rPr>
        <w:t>/</w:t>
      </w:r>
      <w:r>
        <w:rPr>
          <w:rFonts w:hint="eastAsia" w:ascii="楷体" w:hAnsi="楷体" w:eastAsia="楷体"/>
          <w:sz w:val="24"/>
          <w:szCs w:val="24"/>
        </w:rPr>
        <w:t>本产品：指“苏银理财</w:t>
      </w:r>
      <w:r>
        <w:rPr>
          <w:rFonts w:hint="eastAsia" w:ascii="楷体" w:hAnsi="楷体" w:eastAsia="楷体"/>
          <w:sz w:val="24"/>
          <w:szCs w:val="24"/>
          <w:lang w:eastAsia="zh-CN"/>
        </w:rPr>
        <w:t>恒源6月定开1期</w:t>
      </w:r>
      <w:r>
        <w:rPr>
          <w:rFonts w:hint="eastAsia" w:ascii="楷体" w:hAnsi="楷体" w:eastAsia="楷体"/>
          <w:sz w:val="24"/>
          <w:szCs w:val="24"/>
        </w:rPr>
        <w:t>”理财产品。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理财产品登记编码：指本款理财产品在全国银行业理财信息登记系统中的编码，投资者可在中国理财网进行查询该编码。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理财产品代码/产品代码：指本款理财产品在全国银行业理财信息登记系统中登记的内部识别码。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理财产品份额：指投资者持有本理财产品的单位数额。投资者基于其所持有的理财产品单位数额享有理财产品利益、承担理财产品风险。</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理财产品资产净值/理财资产净值/产品资产净值：产品资产净值=产品资产总值-产品负债总值。</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产品资产总值</w:t>
      </w:r>
      <w:r>
        <w:rPr>
          <w:rFonts w:hint="eastAsia" w:ascii="楷体" w:hAnsi="楷体" w:eastAsia="楷体"/>
          <w:sz w:val="24"/>
          <w:szCs w:val="24"/>
          <w:lang w:eastAsia="zh-CN"/>
        </w:rPr>
        <w:t>：</w:t>
      </w:r>
      <w:r>
        <w:rPr>
          <w:rFonts w:hint="eastAsia" w:ascii="楷体" w:hAnsi="楷体" w:eastAsia="楷体"/>
          <w:sz w:val="24"/>
          <w:szCs w:val="24"/>
        </w:rPr>
        <w:t>指产品拥有的各类有价证券、银行存款、应收款项及其他资产的价值总和。</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产品负债总值</w:t>
      </w:r>
      <w:r>
        <w:rPr>
          <w:rFonts w:hint="eastAsia" w:ascii="楷体" w:hAnsi="楷体" w:eastAsia="楷体"/>
          <w:sz w:val="24"/>
          <w:szCs w:val="24"/>
          <w:lang w:eastAsia="zh-CN"/>
        </w:rPr>
        <w:t>：</w:t>
      </w:r>
      <w:r>
        <w:rPr>
          <w:rFonts w:hint="eastAsia" w:ascii="楷体" w:hAnsi="楷体" w:eastAsia="楷体"/>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sz w:val="24"/>
          <w:szCs w:val="24"/>
          <w:lang w:val="en-US" w:eastAsia="zh-CN"/>
        </w:rPr>
        <w:t>份额</w:t>
      </w:r>
      <w:r>
        <w:rPr>
          <w:rFonts w:hint="eastAsia" w:ascii="楷体" w:hAnsi="楷体" w:eastAsia="楷体"/>
          <w:sz w:val="24"/>
          <w:szCs w:val="24"/>
        </w:rPr>
        <w:t>单位净值进行理财产品申购、赎回和终止时分配。</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理财产品估值：指计算评估理财产品资产和负债以确定理财产品单位净值的过程。</w:t>
      </w:r>
    </w:p>
    <w:p>
      <w:pPr>
        <w:numPr>
          <w:ilvl w:val="0"/>
          <w:numId w:val="6"/>
        </w:numPr>
        <w:tabs>
          <w:tab w:val="left" w:pos="851"/>
        </w:tabs>
        <w:ind w:left="0" w:firstLine="482" w:firstLineChars="200"/>
        <w:rPr>
          <w:rFonts w:hint="eastAsia" w:ascii="楷体" w:hAnsi="楷体" w:eastAsia="楷体"/>
          <w:b/>
          <w:sz w:val="24"/>
          <w:szCs w:val="24"/>
        </w:rPr>
      </w:pPr>
      <w:r>
        <w:rPr>
          <w:rFonts w:hint="eastAsia" w:ascii="楷体" w:hAnsi="楷体" w:eastAsia="楷体"/>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★理财产品收益/理财收益：指投资者投资理财产品获得的投资收益，该收益为其获得分配的全部理财产品利益中扣除理财产品本金的部分。</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认购：指投资者根据理财产品说明书约定在募集期内申请购买本产品理财产品份额的行为。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ascii="楷体" w:hAnsi="楷体" w:eastAsia="楷体" w:cs="Calibri"/>
          <w:sz w:val="24"/>
          <w:szCs w:val="24"/>
          <w:highlight w:val="none"/>
        </w:rPr>
        <w:t>申购、赎回申请</w:t>
      </w:r>
      <w:r>
        <w:rPr>
          <w:rFonts w:hint="eastAsia" w:ascii="楷体" w:hAnsi="楷体" w:eastAsia="楷体" w:cs="Calibri"/>
          <w:sz w:val="24"/>
          <w:szCs w:val="24"/>
          <w:highlight w:val="none"/>
        </w:rPr>
        <w:t>：</w:t>
      </w:r>
      <w:r>
        <w:rPr>
          <w:rFonts w:ascii="楷体" w:hAnsi="楷体" w:eastAsia="楷体" w:cs="Calibri"/>
          <w:sz w:val="24"/>
          <w:szCs w:val="24"/>
          <w:highlight w:val="none"/>
        </w:rPr>
        <w:t>指在</w:t>
      </w:r>
      <w:r>
        <w:rPr>
          <w:rFonts w:hint="eastAsia" w:ascii="楷体" w:hAnsi="楷体" w:eastAsia="楷体" w:cs="Calibri"/>
          <w:sz w:val="24"/>
          <w:szCs w:val="24"/>
          <w:highlight w:val="none"/>
        </w:rPr>
        <w:t>理财产品开放日</w:t>
      </w:r>
      <w:r>
        <w:rPr>
          <w:rFonts w:ascii="楷体" w:hAnsi="楷体" w:eastAsia="楷体" w:cs="Calibri"/>
          <w:sz w:val="24"/>
          <w:szCs w:val="24"/>
          <w:highlight w:val="none"/>
        </w:rPr>
        <w:t>投资者向</w:t>
      </w:r>
      <w:r>
        <w:rPr>
          <w:rFonts w:hint="eastAsia" w:ascii="楷体" w:hAnsi="楷体" w:eastAsia="楷体" w:cs="Calibri"/>
          <w:sz w:val="24"/>
          <w:szCs w:val="24"/>
          <w:highlight w:val="none"/>
        </w:rPr>
        <w:t>理财产品管理人</w:t>
      </w:r>
      <w:r>
        <w:rPr>
          <w:rFonts w:ascii="楷体" w:hAnsi="楷体" w:eastAsia="楷体" w:cs="Calibri"/>
          <w:sz w:val="24"/>
          <w:szCs w:val="24"/>
          <w:highlight w:val="none"/>
        </w:rPr>
        <w:t>提出申请对理财</w:t>
      </w:r>
      <w:r>
        <w:rPr>
          <w:rFonts w:hint="eastAsia" w:ascii="楷体" w:hAnsi="楷体" w:eastAsia="楷体" w:cs="Calibri"/>
          <w:sz w:val="24"/>
          <w:szCs w:val="24"/>
          <w:highlight w:val="none"/>
        </w:rPr>
        <w:t>产品</w:t>
      </w:r>
      <w:r>
        <w:rPr>
          <w:rFonts w:ascii="楷体" w:hAnsi="楷体" w:eastAsia="楷体" w:cs="Calibri"/>
          <w:sz w:val="24"/>
          <w:szCs w:val="24"/>
          <w:highlight w:val="none"/>
        </w:rPr>
        <w:t>份额进行购买或卖出的行为。</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巨额赎回：理财产品每个开放日投资者净赎回额（赎回申请份额总数扣除申购申请份额总数）超过本理财产品上一工作日日终份额10%时，即为发生巨额赎回。</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流动性受限资产：</w:t>
      </w:r>
      <w:r>
        <w:rPr>
          <w:rFonts w:hint="eastAsia" w:ascii="楷体" w:hAnsi="楷体" w:eastAsia="楷体" w:cs="Calibri"/>
          <w:kern w:val="2"/>
          <w:sz w:val="24"/>
          <w:szCs w:val="24"/>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highlight w:val="none"/>
          <w:lang w:val="en-US" w:eastAsia="zh-CN"/>
        </w:rPr>
        <w:t>法律法规或监管机构另有规定的，从其规定。</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cs="Calibri"/>
          <w:kern w:val="2"/>
          <w:sz w:val="24"/>
          <w:szCs w:val="24"/>
          <w:highlight w:val="none"/>
        </w:rPr>
        <w:t>7个工作日可变现资产</w:t>
      </w:r>
      <w:r>
        <w:rPr>
          <w:rFonts w:hint="eastAsia" w:ascii="楷体" w:hAnsi="楷体" w:eastAsia="楷体" w:cs="Calibri"/>
          <w:kern w:val="2"/>
          <w:sz w:val="24"/>
          <w:szCs w:val="24"/>
          <w:highlight w:val="none"/>
          <w:lang w:eastAsia="zh-CN"/>
        </w:rPr>
        <w:t>：</w:t>
      </w:r>
      <w:r>
        <w:rPr>
          <w:rFonts w:hint="eastAsia" w:ascii="楷体" w:hAnsi="楷体" w:eastAsia="楷体" w:cs="Calibri"/>
          <w:kern w:val="2"/>
          <w:sz w:val="24"/>
          <w:szCs w:val="24"/>
          <w:highlight w:val="none"/>
        </w:rPr>
        <w:t>包括可在交易所、银行间市场正常交易的股票、债券、非金融企业债务融资工具、期货及期权合约以及同业存单，7个工作日内到期或可支取的</w:t>
      </w:r>
      <w:r>
        <w:rPr>
          <w:rFonts w:hint="eastAsia" w:ascii="楷体" w:hAnsi="楷体" w:eastAsia="楷体" w:cs="Calibri"/>
          <w:kern w:val="2"/>
          <w:sz w:val="24"/>
          <w:szCs w:val="24"/>
        </w:rPr>
        <w:t>买入返售、银行存款，7个工作日内能够确认收到的各类应收款项等。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期间与日期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工作日：指国家法定工作日。</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交易日：</w:t>
      </w:r>
      <w:r>
        <w:rPr>
          <w:rFonts w:ascii="楷体" w:hAnsi="楷体" w:eastAsia="楷体"/>
          <w:sz w:val="24"/>
          <w:szCs w:val="24"/>
        </w:rPr>
        <w:t>指上海证券交易所和深圳证券交易所的正常开盘交易日</w:t>
      </w:r>
      <w:r>
        <w:rPr>
          <w:rFonts w:hint="eastAsia" w:ascii="楷体" w:hAnsi="楷体" w:eastAsia="楷体"/>
          <w:sz w:val="24"/>
          <w:szCs w:val="24"/>
        </w:rPr>
        <w:t>。</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成立日：指本产品开始运作的日期。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份额登记日/份额确认日：指管理人对投资者提交的认购申请进行份额登记的日期。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终止日/到期日：指本产品终止的日期。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估值日：指产品管理人对理财产品项下资产进行估值的日期。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兑付日：指投资者理财资金到达投资者资金账户的日期。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募集期：指理财产品成立前，理财产品管理人接受理财产品认购的时间。</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开放日：指投资周期终止日。开放计划内的申购、赎回申请，将以开放日的净值进行确认。</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产品存续期：指自理财产品成立日起，至理财产品终止日的期间。</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其他</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元：指人民币元。</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lang w:val="en-US" w:eastAsia="zh-CN"/>
        </w:rPr>
        <w:t>不可抗力：</w:t>
      </w:r>
      <w:r>
        <w:rPr>
          <w:rFonts w:hint="eastAsia" w:ascii="楷体" w:hAnsi="楷体" w:eastAsia="楷体" w:cs="Calibri"/>
          <w:sz w:val="24"/>
          <w:szCs w:val="24"/>
          <w:lang w:val="en-US" w:eastAsia="zh-CN"/>
        </w:rPr>
        <w:t>指理财产品合同各方当事人所不能预见、不能避免且不能克服的客观情况，使得任何一方当事人无法及时履行理财合同的全部或部分义务，该类事件包括但不限于：</w:t>
      </w:r>
    </w:p>
    <w:p>
      <w:pPr>
        <w:numPr>
          <w:ilvl w:val="0"/>
          <w:numId w:val="9"/>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9"/>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highlight w:val="none"/>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highlight w:val="none"/>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投资管理</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投资范围和比例</w:t>
      </w:r>
    </w:p>
    <w:p>
      <w:pPr>
        <w:ind w:firstLine="480" w:firstLineChars="200"/>
        <w:rPr>
          <w:rFonts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w:t>
      </w:r>
      <w:r>
        <w:rPr>
          <w:rFonts w:hint="eastAsia" w:ascii="楷体" w:hAnsi="楷体" w:eastAsia="楷体"/>
          <w:sz w:val="24"/>
          <w:szCs w:val="24"/>
          <w:highlight w:val="none"/>
        </w:rPr>
        <w:t>变现价值。</w:t>
      </w:r>
    </w:p>
    <w:p>
      <w:pPr>
        <w:ind w:firstLine="480" w:firstLineChars="200"/>
        <w:rPr>
          <w:rFonts w:hint="eastAsia" w:ascii="楷体" w:hAnsi="楷体" w:eastAsia="楷体"/>
          <w:sz w:val="24"/>
          <w:szCs w:val="24"/>
          <w:highlight w:val="none"/>
        </w:rPr>
      </w:pPr>
      <w:r>
        <w:rPr>
          <w:rFonts w:hint="eastAsia" w:ascii="楷体" w:hAnsi="楷体" w:eastAsia="楷体" w:cs="楷体"/>
          <w:sz w:val="24"/>
          <w:szCs w:val="24"/>
          <w:highlight w:val="none"/>
        </w:rPr>
        <w:t>本产品计划配置的备选非标准化债权类资产如下：</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lang w:val="en-US" w:eastAsia="zh-CN"/>
        </w:rPr>
        <w:t>（1）信托贷款：资产类型为信托公司设立的信托计划，底层资产为个人贷款债权，该类资产由蚂蚁、微信、抖音、京东、度小满、网商银行等公司与信托公司双重审核、信托公司自主风控后发放，资产运行正常。</w:t>
      </w:r>
    </w:p>
    <w:p>
      <w:pPr>
        <w:numPr>
          <w:ilvl w:val="0"/>
          <w:numId w:val="0"/>
        </w:numPr>
        <w:ind w:firstLine="480" w:firstLineChars="200"/>
        <w:rPr>
          <w:rFonts w:hint="eastAsia" w:ascii="楷体" w:hAnsi="楷体" w:eastAsia="楷体" w:cs="楷体"/>
          <w:kern w:val="2"/>
          <w:sz w:val="24"/>
          <w:szCs w:val="24"/>
          <w:highlight w:val="none"/>
          <w:lang w:val="en-US" w:eastAsia="zh-CN" w:bidi="ar-SA"/>
        </w:rPr>
      </w:pPr>
      <w:r>
        <w:rPr>
          <w:rFonts w:hint="eastAsia" w:ascii="楷体" w:hAnsi="楷体" w:eastAsia="楷体"/>
          <w:sz w:val="24"/>
          <w:szCs w:val="24"/>
          <w:lang w:val="en-US" w:eastAsia="zh-CN"/>
        </w:rPr>
        <w:t>资产到期日不超过理财产品投资周期终止日，循环期不还本、摊还期过手摊还本息。</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产品存续期内若本理财产品投资的</w:t>
      </w:r>
      <w:r>
        <w:rPr>
          <w:rFonts w:hint="eastAsia" w:ascii="楷体" w:hAnsi="楷体" w:eastAsia="楷体" w:cs="楷体"/>
          <w:kern w:val="2"/>
          <w:sz w:val="24"/>
          <w:szCs w:val="24"/>
          <w:highlight w:val="none"/>
          <w:lang w:val="en-US" w:eastAsia="zh-CN" w:bidi="ar-SA"/>
        </w:rPr>
        <w:t>个人贷款债权</w:t>
      </w:r>
      <w:r>
        <w:rPr>
          <w:rFonts w:hint="eastAsia" w:ascii="楷体" w:hAnsi="楷体" w:eastAsia="楷体"/>
          <w:sz w:val="24"/>
          <w:szCs w:val="24"/>
          <w:highlight w:val="none"/>
        </w:rPr>
        <w:t>资产</w:t>
      </w:r>
      <w:r>
        <w:rPr>
          <w:rFonts w:hint="eastAsia" w:ascii="楷体" w:hAnsi="楷体" w:eastAsia="楷体"/>
          <w:sz w:val="24"/>
          <w:szCs w:val="24"/>
        </w:rPr>
        <w:t>有所调整，管理人将选择优质企业作为融资人，且融资项目已履行管理人内部审批流程，融资人业务经营正常，融资项目还款来源明确，并在本理财产品的定期报告中披露。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投资集中度限制</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本产品持有单只证券或者单只公募证券投资基金的市值不得超过产品净资产的</w:t>
      </w:r>
      <w:r>
        <w:rPr>
          <w:rFonts w:ascii="楷体" w:hAnsi="楷体" w:eastAsia="楷体"/>
          <w:sz w:val="24"/>
          <w:szCs w:val="24"/>
        </w:rPr>
        <w:t>10%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管理人全部公募产品持有单只证券或单只公募证券投资基金的市值，不得超过该证券市值或该公募证券投资基金市值的</w:t>
      </w:r>
      <w:r>
        <w:rPr>
          <w:rFonts w:ascii="楷体" w:hAnsi="楷体" w:eastAsia="楷体"/>
          <w:sz w:val="24"/>
          <w:szCs w:val="24"/>
        </w:rPr>
        <w:t>30%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0"/>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投资范围调整</w:t>
      </w:r>
    </w:p>
    <w:p>
      <w:pPr>
        <w:ind w:firstLine="480" w:firstLineChars="200"/>
        <w:rPr>
          <w:rFonts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w:t>
      </w:r>
      <w:r>
        <w:rPr>
          <w:rFonts w:hint="eastAsia" w:ascii="楷体" w:hAnsi="楷体" w:eastAsia="楷体"/>
          <w:sz w:val="24"/>
          <w:szCs w:val="24"/>
          <w:lang w:eastAsia="zh-CN"/>
        </w:rPr>
        <w:t>，</w:t>
      </w:r>
      <w:r>
        <w:rPr>
          <w:rFonts w:hint="eastAsia" w:ascii="楷体" w:hAnsi="楷体" w:eastAsia="楷体"/>
          <w:sz w:val="24"/>
          <w:szCs w:val="24"/>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产品认购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认购期间（以各销售机构设置的认购时间为准）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sz w:val="24"/>
                <w:szCs w:val="24"/>
                <w:vertAlign w:val="baseline"/>
                <w:lang w:val="en-US" w:eastAsia="zh-CN"/>
              </w:rPr>
            </w:pPr>
            <w:r>
              <w:rPr>
                <w:rFonts w:hint="eastAsia" w:ascii="楷体" w:hAnsi="楷体" w:eastAsia="楷体"/>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sz w:val="24"/>
                <w:szCs w:val="24"/>
                <w:vertAlign w:val="baseline"/>
                <w:lang w:val="en-US" w:eastAsia="zh-CN"/>
              </w:rPr>
            </w:pPr>
            <w:r>
              <w:rPr>
                <w:rFonts w:hint="eastAsia" w:ascii="楷体" w:hAnsi="楷体" w:eastAsia="楷体"/>
                <w:sz w:val="24"/>
                <w:szCs w:val="24"/>
                <w:vertAlign w:val="baseline"/>
                <w:lang w:val="en-US" w:eastAsia="zh-CN"/>
              </w:rPr>
              <w:t>认购期间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A/C/D份额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eastAsia="zh-CN"/>
              </w:rPr>
              <w:t>2021年12月29日</w:t>
            </w:r>
            <w:r>
              <w:rPr>
                <w:rFonts w:hint="eastAsia" w:ascii="楷体" w:hAnsi="楷体" w:eastAsia="楷体"/>
                <w:sz w:val="24"/>
                <w:szCs w:val="24"/>
              </w:rPr>
              <w:t>9:00至</w:t>
            </w:r>
            <w:r>
              <w:rPr>
                <w:rFonts w:hint="eastAsia" w:ascii="楷体" w:hAnsi="楷体" w:eastAsia="楷体"/>
                <w:sz w:val="24"/>
                <w:szCs w:val="24"/>
                <w:lang w:eastAsia="zh-CN"/>
              </w:rPr>
              <w:t>2022年1月5日</w:t>
            </w:r>
            <w:r>
              <w:rPr>
                <w:rFonts w:hint="eastAsia" w:ascii="楷体" w:hAnsi="楷体" w:eastAsia="楷体"/>
                <w:sz w:val="24"/>
                <w:szCs w:val="24"/>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F份额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2022年7月13日9:00至2022年7月19日17:00</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认购方式：本理财产品可在各销售机构指定渠道进行认购。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highlight w:val="none"/>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w:t>
      </w:r>
      <w:r>
        <w:rPr>
          <w:rFonts w:hint="eastAsia" w:ascii="楷体" w:hAnsi="楷体" w:eastAsia="楷体" w:cs="Calibri"/>
          <w:sz w:val="24"/>
          <w:szCs w:val="24"/>
          <w:lang w:val="en-US" w:eastAsia="zh-CN"/>
        </w:rPr>
        <w:t>后，视为投资者的认购申请生效。投资者应在理财产品成立后及时查询最终的成交情况以及认购的份额。</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单笔认购起点金额</w:t>
      </w:r>
      <w:r>
        <w:rPr>
          <w:rFonts w:hint="eastAsia" w:ascii="楷体" w:hAnsi="楷体" w:eastAsia="楷体"/>
          <w:sz w:val="24"/>
          <w:szCs w:val="24"/>
          <w:lang w:eastAsia="zh-CN"/>
        </w:rPr>
        <w:t>、</w:t>
      </w:r>
      <w:r>
        <w:rPr>
          <w:rFonts w:hint="eastAsia" w:ascii="楷体" w:hAnsi="楷体" w:eastAsia="楷体"/>
          <w:sz w:val="24"/>
          <w:szCs w:val="24"/>
          <w:lang w:val="en-US" w:eastAsia="zh-CN"/>
        </w:rPr>
        <w:t>追加金额</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2673"/>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sz w:val="24"/>
                <w:szCs w:val="24"/>
                <w:vertAlign w:val="baseline"/>
                <w:lang w:val="en-US" w:eastAsia="zh-CN"/>
              </w:rPr>
            </w:pPr>
            <w:r>
              <w:rPr>
                <w:rFonts w:hint="eastAsia" w:ascii="楷体" w:hAnsi="楷体" w:eastAsia="楷体"/>
                <w:sz w:val="24"/>
                <w:szCs w:val="24"/>
                <w:vertAlign w:val="baseline"/>
                <w:lang w:val="en-US" w:eastAsia="zh-CN"/>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sz w:val="24"/>
                <w:szCs w:val="24"/>
                <w:vertAlign w:val="baseline"/>
                <w:lang w:val="en-US" w:eastAsia="zh-CN"/>
              </w:rPr>
            </w:pPr>
            <w:r>
              <w:rPr>
                <w:rFonts w:hint="eastAsia" w:ascii="楷体" w:hAnsi="楷体" w:eastAsia="楷体"/>
                <w:sz w:val="24"/>
                <w:szCs w:val="24"/>
              </w:rPr>
              <w:t>单笔认购起点金额</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sz w:val="24"/>
                <w:szCs w:val="24"/>
                <w:vertAlign w:val="baseline"/>
                <w:lang w:val="en-US" w:eastAsia="zh-CN"/>
              </w:rPr>
            </w:pPr>
            <w:r>
              <w:rPr>
                <w:rFonts w:hint="eastAsia" w:ascii="楷体" w:hAnsi="楷体" w:eastAsia="楷体"/>
                <w:sz w:val="24"/>
                <w:szCs w:val="24"/>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A</w:t>
            </w:r>
            <w:r>
              <w:rPr>
                <w:rFonts w:hint="eastAsia" w:ascii="楷体" w:hAnsi="楷体" w:eastAsia="楷体"/>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default" w:ascii="楷体" w:hAnsi="楷体" w:eastAsia="楷体"/>
                <w:sz w:val="24"/>
                <w:szCs w:val="24"/>
              </w:rPr>
              <w:t>1</w:t>
            </w:r>
            <w:r>
              <w:rPr>
                <w:rFonts w:hint="eastAsia" w:ascii="楷体" w:hAnsi="楷体" w:eastAsia="楷体"/>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default" w:ascii="楷体" w:hAnsi="楷体" w:eastAsia="楷体"/>
                <w:sz w:val="24"/>
                <w:szCs w:val="24"/>
              </w:rPr>
              <w:t>1</w:t>
            </w:r>
            <w:r>
              <w:rPr>
                <w:rFonts w:hint="eastAsia" w:ascii="楷体" w:hAnsi="楷体" w:eastAsia="楷体"/>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C</w:t>
            </w:r>
            <w:r>
              <w:rPr>
                <w:rFonts w:hint="eastAsia" w:ascii="楷体" w:hAnsi="楷体" w:eastAsia="楷体"/>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default" w:ascii="楷体" w:hAnsi="楷体" w:eastAsia="楷体"/>
                <w:sz w:val="24"/>
                <w:szCs w:val="24"/>
              </w:rPr>
              <w:t>1</w:t>
            </w:r>
            <w:r>
              <w:rPr>
                <w:rFonts w:hint="eastAsia" w:ascii="楷体" w:hAnsi="楷体" w:eastAsia="楷体"/>
                <w:sz w:val="24"/>
                <w:szCs w:val="24"/>
              </w:rPr>
              <w:t>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default" w:ascii="楷体" w:hAnsi="楷体" w:eastAsia="楷体"/>
                <w:sz w:val="24"/>
                <w:szCs w:val="24"/>
              </w:rPr>
              <w:t>1</w:t>
            </w:r>
            <w:r>
              <w:rPr>
                <w:rFonts w:hint="eastAsia" w:ascii="楷体" w:hAnsi="楷体" w:eastAsia="楷体"/>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sz w:val="24"/>
                <w:szCs w:val="24"/>
                <w:lang w:val="en-US" w:eastAsia="zh-CN"/>
              </w:rPr>
            </w:pPr>
            <w:r>
              <w:rPr>
                <w:rFonts w:hint="eastAsia" w:ascii="楷体" w:hAnsi="楷体" w:eastAsia="楷体"/>
                <w:sz w:val="24"/>
                <w:szCs w:val="24"/>
                <w:lang w:val="en-US" w:eastAsia="zh-CN"/>
              </w:rPr>
              <w:t>D</w:t>
            </w:r>
            <w:r>
              <w:rPr>
                <w:rFonts w:hint="eastAsia" w:ascii="楷体" w:hAnsi="楷体" w:eastAsia="楷体"/>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rPr>
            </w:pPr>
            <w:r>
              <w:rPr>
                <w:rFonts w:hint="eastAsia" w:ascii="楷体" w:hAnsi="楷体" w:eastAsia="楷体" w:cs="Times New Roman"/>
                <w:sz w:val="24"/>
                <w:szCs w:val="24"/>
                <w:lang w:val="en-US" w:eastAsia="zh-CN"/>
              </w:rPr>
              <w:t>个人投资者：</w:t>
            </w:r>
            <w:r>
              <w:rPr>
                <w:rFonts w:hint="default" w:ascii="楷体" w:hAnsi="楷体" w:eastAsia="楷体" w:cs="Times New Roman"/>
                <w:sz w:val="24"/>
                <w:szCs w:val="24"/>
              </w:rPr>
              <w:t>50</w:t>
            </w:r>
            <w:r>
              <w:rPr>
                <w:rFonts w:hint="eastAsia" w:ascii="楷体" w:hAnsi="楷体" w:eastAsia="楷体" w:cs="Times New Roman"/>
                <w:sz w:val="24"/>
                <w:szCs w:val="24"/>
              </w:rPr>
              <w:t>万元</w:t>
            </w:r>
          </w:p>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eastAsia="楷体"/>
                <w:lang w:val="en-US" w:eastAsia="zh-CN"/>
              </w:rPr>
            </w:pPr>
            <w:r>
              <w:rPr>
                <w:rFonts w:hint="eastAsia" w:ascii="楷体" w:hAnsi="楷体" w:eastAsia="楷体" w:cs="Times New Roman"/>
                <w:sz w:val="24"/>
                <w:szCs w:val="24"/>
                <w:lang w:val="en-US" w:eastAsia="zh-CN"/>
              </w:rPr>
              <w:t>机构投资者：5000万元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kern w:val="2"/>
                <w:sz w:val="24"/>
                <w:szCs w:val="24"/>
                <w:lang w:val="en-US" w:eastAsia="zh-CN" w:bidi="ar-SA"/>
              </w:rPr>
            </w:pPr>
            <w:r>
              <w:rPr>
                <w:rFonts w:hint="default" w:ascii="楷体" w:hAnsi="楷体" w:eastAsia="楷体"/>
                <w:sz w:val="24"/>
                <w:szCs w:val="24"/>
              </w:rPr>
              <w:t>1</w:t>
            </w:r>
            <w:r>
              <w:rPr>
                <w:rFonts w:hint="eastAsia" w:ascii="楷体" w:hAnsi="楷体" w:eastAsia="楷体"/>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lang w:val="en-US" w:eastAsia="zh-CN"/>
              </w:rPr>
            </w:pPr>
            <w:r>
              <w:rPr>
                <w:rFonts w:hint="eastAsia" w:ascii="楷体" w:hAnsi="楷体" w:eastAsia="楷体"/>
                <w:sz w:val="24"/>
                <w:szCs w:val="24"/>
                <w:lang w:val="en-US" w:eastAsia="zh-CN"/>
              </w:rPr>
              <w:t>F</w:t>
            </w:r>
            <w:r>
              <w:rPr>
                <w:rFonts w:hint="eastAsia" w:ascii="楷体" w:hAnsi="楷体" w:eastAsia="楷体"/>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sz w:val="24"/>
                <w:szCs w:val="24"/>
              </w:rPr>
            </w:pPr>
            <w:r>
              <w:rPr>
                <w:rFonts w:hint="default" w:ascii="楷体" w:hAnsi="楷体" w:eastAsia="楷体"/>
                <w:sz w:val="24"/>
                <w:szCs w:val="24"/>
              </w:rPr>
              <w:t>1</w:t>
            </w:r>
            <w:r>
              <w:rPr>
                <w:rFonts w:hint="eastAsia" w:ascii="楷体" w:hAnsi="楷体" w:eastAsia="楷体"/>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sz w:val="24"/>
                <w:szCs w:val="24"/>
              </w:rPr>
            </w:pPr>
            <w:r>
              <w:rPr>
                <w:rFonts w:hint="default" w:ascii="楷体" w:hAnsi="楷体" w:eastAsia="楷体"/>
                <w:sz w:val="24"/>
                <w:szCs w:val="24"/>
              </w:rPr>
              <w:t>1</w:t>
            </w:r>
            <w:r>
              <w:rPr>
                <w:rFonts w:hint="eastAsia" w:ascii="楷体" w:hAnsi="楷体" w:eastAsia="楷体"/>
                <w:sz w:val="24"/>
                <w:szCs w:val="24"/>
              </w:rPr>
              <w:t>元的整数倍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lang w:val="en-US" w:eastAsia="zh-CN"/>
        </w:rPr>
        <w:t>认购申请撤销时间：认购期间，投资者可于以下时点前撤销对应份额的认购申请，以下时点后不得撤销。（以各销售机构设置的撤销截止时间为准）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sz w:val="24"/>
                <w:szCs w:val="24"/>
                <w:vertAlign w:val="baseline"/>
                <w:lang w:val="en-US" w:eastAsia="zh-CN"/>
              </w:rPr>
            </w:pPr>
            <w:r>
              <w:rPr>
                <w:rFonts w:hint="eastAsia" w:ascii="楷体" w:hAnsi="楷体" w:eastAsia="楷体"/>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sz w:val="24"/>
                <w:szCs w:val="24"/>
                <w:vertAlign w:val="baseline"/>
                <w:lang w:val="en-US" w:eastAsia="zh-CN"/>
              </w:rPr>
            </w:pPr>
            <w:r>
              <w:rPr>
                <w:rFonts w:hint="eastAsia" w:ascii="楷体" w:hAnsi="楷体" w:eastAsia="楷体"/>
                <w:sz w:val="24"/>
                <w:szCs w:val="24"/>
                <w:lang w:val="en-US" w:eastAsia="zh-CN"/>
              </w:rPr>
              <w:t>认购申请撤销时间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A/C/D份额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eastAsia="zh-CN"/>
              </w:rPr>
              <w:t>2022年1月5日</w:t>
            </w:r>
            <w:r>
              <w:rPr>
                <w:rFonts w:hint="eastAsia" w:ascii="楷体" w:hAnsi="楷体" w:eastAsia="楷体"/>
                <w:sz w:val="24"/>
                <w:szCs w:val="24"/>
              </w:rPr>
              <w:t>17:00前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F份额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sz w:val="24"/>
                <w:szCs w:val="24"/>
                <w:vertAlign w:val="baseline"/>
                <w:lang w:val="en-US"/>
              </w:rPr>
            </w:pPr>
            <w:r>
              <w:rPr>
                <w:rFonts w:hint="eastAsia" w:ascii="楷体" w:hAnsi="楷体" w:eastAsia="楷体"/>
                <w:sz w:val="24"/>
                <w:szCs w:val="24"/>
                <w:lang w:eastAsia="zh-CN"/>
              </w:rPr>
              <w:t>2022年7月19日</w:t>
            </w:r>
            <w:r>
              <w:rPr>
                <w:rFonts w:hint="eastAsia" w:ascii="楷体" w:hAnsi="楷体" w:eastAsia="楷体"/>
                <w:sz w:val="24"/>
                <w:szCs w:val="24"/>
              </w:rPr>
              <w:t>17:00前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认购资金的清算</w:t>
      </w:r>
    </w:p>
    <w:p>
      <w:pPr>
        <w:ind w:firstLine="480" w:firstLineChars="200"/>
        <w:rPr>
          <w:rFonts w:hint="eastAsia" w:ascii="楷体" w:hAnsi="楷体" w:eastAsia="楷体"/>
          <w:color w:val="auto"/>
          <w:sz w:val="24"/>
          <w:szCs w:val="24"/>
          <w:highlight w:val="none"/>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认购份额登记日</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sz w:val="24"/>
                <w:szCs w:val="24"/>
                <w:vertAlign w:val="baseline"/>
                <w:lang w:val="en-US" w:eastAsia="zh-CN"/>
              </w:rPr>
            </w:pPr>
            <w:r>
              <w:rPr>
                <w:rFonts w:hint="eastAsia" w:ascii="楷体" w:hAnsi="楷体" w:eastAsia="楷体"/>
                <w:sz w:val="24"/>
                <w:szCs w:val="24"/>
                <w:vertAlign w:val="baseline"/>
                <w:lang w:val="en-US" w:eastAsia="zh-CN"/>
              </w:rPr>
              <w:t>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sz w:val="24"/>
                <w:szCs w:val="24"/>
                <w:vertAlign w:val="baseline"/>
              </w:rPr>
            </w:pPr>
            <w:r>
              <w:rPr>
                <w:rFonts w:hint="eastAsia" w:ascii="楷体" w:hAnsi="楷体" w:eastAsia="楷体"/>
                <w:sz w:val="24"/>
                <w:szCs w:val="24"/>
              </w:rPr>
              <w:t>认购份额登记日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A/C/D份额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eastAsia="zh-CN"/>
              </w:rPr>
              <w:t>2022年1月6日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val="en-US" w:eastAsia="zh-CN"/>
              </w:rPr>
              <w:t>F份额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sz w:val="24"/>
                <w:szCs w:val="24"/>
                <w:vertAlign w:val="baseline"/>
              </w:rPr>
            </w:pPr>
            <w:r>
              <w:rPr>
                <w:rFonts w:hint="eastAsia" w:ascii="楷体" w:hAnsi="楷体" w:eastAsia="楷体"/>
                <w:sz w:val="24"/>
                <w:szCs w:val="24"/>
                <w:lang w:eastAsia="zh-CN"/>
              </w:rPr>
              <w:t>2022年7月20日</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收益分配</w:t>
      </w:r>
    </w:p>
    <w:p>
      <w:pPr>
        <w:ind w:firstLine="480" w:firstLineChars="200"/>
        <w:rPr>
          <w:rFonts w:hint="eastAsia" w:ascii="楷体" w:hAnsi="楷体" w:eastAsia="楷体"/>
          <w:sz w:val="24"/>
          <w:szCs w:val="24"/>
        </w:rPr>
      </w:pPr>
      <w:r>
        <w:rPr>
          <w:rFonts w:hint="eastAsia" w:ascii="楷体" w:hAnsi="楷体" w:eastAsia="楷体"/>
          <w:sz w:val="24"/>
          <w:szCs w:val="24"/>
        </w:rPr>
        <w:t>投资者持有本理财产品期间及到期时，管理人不承诺保证投资本金安全且不保证理财收益，投资者收益（如有）随理财产品的投资盈亏水平浮动。</w:t>
      </w:r>
    </w:p>
    <w:p>
      <w:pPr>
        <w:ind w:firstLine="480" w:firstLineChars="200"/>
        <w:rPr>
          <w:rFonts w:hint="eastAsia" w:ascii="楷体" w:hAnsi="楷体" w:eastAsia="楷体"/>
          <w:sz w:val="24"/>
          <w:szCs w:val="24"/>
        </w:rPr>
      </w:pPr>
      <w:r>
        <w:rPr>
          <w:rFonts w:hint="eastAsia" w:ascii="楷体" w:hAnsi="楷体" w:eastAsia="楷体"/>
          <w:sz w:val="24"/>
          <w:szCs w:val="24"/>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80" w:firstLineChars="200"/>
        <w:rPr>
          <w:rFonts w:hint="eastAsia" w:ascii="楷体" w:hAnsi="楷体" w:eastAsia="楷体"/>
          <w:sz w:val="24"/>
          <w:szCs w:val="24"/>
        </w:rPr>
      </w:pPr>
      <w:r>
        <w:rPr>
          <w:rFonts w:hint="eastAsia" w:ascii="楷体" w:hAnsi="楷体" w:eastAsia="楷体"/>
          <w:sz w:val="24"/>
          <w:szCs w:val="24"/>
        </w:rPr>
        <w:t>分红计算示例：（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1.情景一</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假定投资者在该投资周期持有该产品的份额为10,000.00份，该投资周期扣除固定费用（包括托管费、销售服务费、投资管理费）、运作产品所必须缴纳的税费、提取业绩报酬（如有）后，产品单位净值为1.0</w:t>
      </w:r>
      <w:r>
        <w:rPr>
          <w:rFonts w:ascii="楷体" w:hAnsi="楷体" w:eastAsia="楷体"/>
          <w:sz w:val="24"/>
          <w:szCs w:val="24"/>
        </w:rPr>
        <w:t>2</w:t>
      </w:r>
      <w:r>
        <w:rPr>
          <w:rFonts w:hint="eastAsia" w:ascii="楷体" w:hAnsi="楷体" w:eastAsia="楷体"/>
          <w:sz w:val="24"/>
          <w:szCs w:val="24"/>
        </w:rPr>
        <w:t>。理财产品单位净值大于面值，管理人可进行现金分红，每份额可获得的现金分红为0.0</w:t>
      </w:r>
      <w:r>
        <w:rPr>
          <w:rFonts w:ascii="楷体" w:hAnsi="楷体" w:eastAsia="楷体"/>
          <w:sz w:val="24"/>
          <w:szCs w:val="24"/>
        </w:rPr>
        <w:t>2</w:t>
      </w:r>
      <w:r>
        <w:rPr>
          <w:rFonts w:hint="eastAsia" w:ascii="楷体" w:hAnsi="楷体" w:eastAsia="楷体"/>
          <w:sz w:val="24"/>
          <w:szCs w:val="24"/>
        </w:rPr>
        <w:t>元。</w:t>
      </w:r>
    </w:p>
    <w:p>
      <w:pPr>
        <w:ind w:firstLine="480" w:firstLineChars="200"/>
        <w:rPr>
          <w:rFonts w:hint="eastAsia" w:ascii="楷体" w:hAnsi="楷体" w:eastAsia="楷体"/>
          <w:sz w:val="24"/>
          <w:szCs w:val="24"/>
        </w:rPr>
      </w:pPr>
      <w:r>
        <w:rPr>
          <w:rFonts w:hint="eastAsia" w:ascii="楷体" w:hAnsi="楷体" w:eastAsia="楷体"/>
          <w:sz w:val="24"/>
          <w:szCs w:val="24"/>
        </w:rPr>
        <w:t>该投资周期投资者可得分红=10,000.00×0.0</w:t>
      </w:r>
      <w:r>
        <w:rPr>
          <w:rFonts w:ascii="楷体" w:hAnsi="楷体" w:eastAsia="楷体"/>
          <w:sz w:val="24"/>
          <w:szCs w:val="24"/>
        </w:rPr>
        <w:t>2</w:t>
      </w:r>
      <w:r>
        <w:rPr>
          <w:rFonts w:hint="eastAsia" w:ascii="楷体" w:hAnsi="楷体" w:eastAsia="楷体"/>
          <w:sz w:val="24"/>
          <w:szCs w:val="24"/>
        </w:rPr>
        <w:t>=</w:t>
      </w:r>
      <w:r>
        <w:rPr>
          <w:rFonts w:ascii="楷体" w:hAnsi="楷体" w:eastAsia="楷体"/>
          <w:sz w:val="24"/>
          <w:szCs w:val="24"/>
        </w:rPr>
        <w:t>200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2.情景二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产品申购、赎回</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2022年1月6日</w:t>
      </w:r>
      <w:r>
        <w:rPr>
          <w:rFonts w:hint="eastAsia" w:ascii="楷体" w:hAnsi="楷体" w:eastAsia="楷体"/>
          <w:sz w:val="24"/>
          <w:szCs w:val="24"/>
        </w:rPr>
        <w:t>，从成立日起，每</w:t>
      </w:r>
      <w:r>
        <w:rPr>
          <w:rFonts w:ascii="楷体" w:hAnsi="楷体" w:eastAsia="楷体"/>
          <w:sz w:val="24"/>
          <w:szCs w:val="24"/>
        </w:rPr>
        <w:t>6</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2022年7月19日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6</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申购、赎回的规则</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申购、赎回的原则：本产品采用金额申购、份额赎回的原则，即申购以金额申请，赎回以份额申请。</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时间：投资者可在开放计划约定的时间内提交申购/赎回申请（以各销售机构设置的开放时间为准）。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5"/>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268"/>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eastAsia" w:ascii="楷体" w:hAnsi="楷体" w:eastAsia="楷体"/>
                <w:szCs w:val="21"/>
              </w:rPr>
              <w:t>投资周期</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eastAsia" w:ascii="楷体" w:hAnsi="楷体" w:eastAsia="楷体"/>
                <w:szCs w:val="21"/>
              </w:rPr>
              <w:t>投资周期起始日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eastAsia" w:ascii="楷体" w:hAnsi="楷体" w:eastAsia="楷体"/>
                <w:szCs w:val="21"/>
              </w:rPr>
              <w:t>投资周期终止日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eastAsia" w:ascii="楷体" w:hAnsi="楷体" w:eastAsia="楷体"/>
                <w:szCs w:val="21"/>
              </w:rPr>
              <w:t>开放计划</w:t>
            </w:r>
          </w:p>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eastAsia" w:ascii="楷体" w:hAnsi="楷体" w:eastAsia="楷体"/>
                <w:szCs w:val="21"/>
              </w:rPr>
              <w:t>（申购/赎回时间）</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eastAsia" w:ascii="楷体" w:hAnsi="楷体" w:eastAsia="楷体"/>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eastAsia" w:ascii="楷体" w:hAnsi="楷体" w:eastAsia="楷体"/>
                <w:szCs w:val="21"/>
              </w:rPr>
              <w:t>1</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eastAsia="zh-CN"/>
              </w:rPr>
            </w:pPr>
            <w:r>
              <w:rPr>
                <w:rFonts w:hint="eastAsia" w:ascii="楷体" w:hAnsi="楷体" w:eastAsia="楷体"/>
                <w:szCs w:val="21"/>
                <w:lang w:eastAsia="zh-CN"/>
              </w:rPr>
              <w:t>2022年1月6日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eastAsia" w:ascii="楷体" w:hAnsi="楷体" w:eastAsia="楷体"/>
                <w:szCs w:val="21"/>
                <w:lang w:eastAsia="zh-CN"/>
              </w:rPr>
              <w:t>2022年7月19日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 w:val="20"/>
                <w:szCs w:val="20"/>
              </w:rPr>
            </w:pPr>
            <w:r>
              <w:rPr>
                <w:rFonts w:hint="eastAsia" w:ascii="楷体" w:hAnsi="楷体" w:eastAsia="楷体"/>
                <w:sz w:val="20"/>
                <w:szCs w:val="20"/>
                <w:lang w:eastAsia="zh-CN"/>
              </w:rPr>
              <w:t>2022年7月13日</w:t>
            </w:r>
            <w:r>
              <w:rPr>
                <w:rFonts w:hint="eastAsia" w:ascii="楷体" w:hAnsi="楷体" w:eastAsia="楷体"/>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sz w:val="20"/>
                <w:szCs w:val="20"/>
              </w:rPr>
            </w:pPr>
            <w:r>
              <w:rPr>
                <w:rFonts w:hint="eastAsia" w:ascii="楷体" w:hAnsi="楷体" w:eastAsia="楷体"/>
                <w:sz w:val="20"/>
                <w:szCs w:val="20"/>
              </w:rPr>
              <w:t>至</w:t>
            </w:r>
          </w:p>
          <w:p>
            <w:pPr>
              <w:keepNext w:val="0"/>
              <w:keepLines w:val="0"/>
              <w:suppressLineNumbers w:val="0"/>
              <w:spacing w:before="0" w:beforeAutospacing="0" w:after="0" w:afterAutospacing="0"/>
              <w:ind w:left="0" w:right="0"/>
              <w:jc w:val="center"/>
              <w:rPr>
                <w:rFonts w:hint="eastAsia" w:ascii="楷体" w:hAnsi="楷体" w:eastAsia="楷体"/>
                <w:sz w:val="20"/>
                <w:szCs w:val="20"/>
              </w:rPr>
            </w:pPr>
            <w:r>
              <w:rPr>
                <w:rFonts w:hint="eastAsia" w:ascii="楷体" w:hAnsi="楷体" w:eastAsia="楷体"/>
                <w:sz w:val="20"/>
                <w:szCs w:val="20"/>
                <w:lang w:eastAsia="zh-CN"/>
              </w:rPr>
              <w:t>2022年7月19日</w:t>
            </w:r>
            <w:r>
              <w:rPr>
                <w:rFonts w:hint="eastAsia" w:ascii="楷体" w:hAnsi="楷体" w:eastAsia="楷体"/>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eastAsia="zh-CN"/>
              </w:rPr>
            </w:pPr>
            <w:r>
              <w:rPr>
                <w:rFonts w:hint="eastAsia" w:ascii="楷体" w:hAnsi="楷体" w:eastAsia="楷体"/>
                <w:szCs w:val="21"/>
                <w:lang w:eastAsia="zh-CN"/>
              </w:rPr>
              <w:t>2022年7月20日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default" w:ascii="楷体" w:hAnsi="楷体" w:eastAsia="楷体"/>
                <w:szCs w:val="21"/>
              </w:rPr>
              <w:t>2</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eastAsia="zh-CN"/>
              </w:rPr>
            </w:pPr>
            <w:r>
              <w:rPr>
                <w:rFonts w:hint="eastAsia" w:ascii="楷体" w:hAnsi="楷体" w:eastAsia="楷体"/>
                <w:szCs w:val="21"/>
                <w:lang w:eastAsia="zh-CN"/>
              </w:rPr>
              <w:t>2022年7月20日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szCs w:val="21"/>
                <w:lang w:val="en-US" w:eastAsia="zh-CN"/>
              </w:rPr>
            </w:pPr>
            <w:r>
              <w:rPr>
                <w:rFonts w:hint="eastAsia" w:ascii="楷体" w:hAnsi="楷体" w:eastAsia="楷体"/>
                <w:szCs w:val="21"/>
                <w:lang w:val="en-US" w:eastAsia="zh-CN"/>
              </w:rPr>
              <w:t>2023年2月2日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w:t>
            </w:r>
            <w:r>
              <w:rPr>
                <w:rFonts w:hint="eastAsia" w:ascii="楷体" w:hAnsi="楷体" w:eastAsia="楷体" w:cs="Times New Roman"/>
                <w:sz w:val="20"/>
                <w:szCs w:val="20"/>
                <w:lang w:val="en-US" w:eastAsia="zh-CN"/>
              </w:rPr>
              <w:t>1</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27</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w:t>
            </w:r>
            <w:r>
              <w:rPr>
                <w:rFonts w:hint="eastAsia" w:ascii="楷体" w:hAnsi="楷体" w:eastAsia="楷体" w:cs="Times New Roman"/>
                <w:sz w:val="20"/>
                <w:szCs w:val="20"/>
                <w:lang w:val="en-US" w:eastAsia="zh-CN"/>
              </w:rPr>
              <w:t>2</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2</w:t>
            </w:r>
            <w:r>
              <w:rPr>
                <w:rFonts w:hint="eastAsia" w:ascii="楷体" w:hAnsi="楷体" w:eastAsia="楷体" w:cs="Times New Roman"/>
                <w:sz w:val="20"/>
                <w:szCs w:val="20"/>
                <w:lang w:eastAsia="zh-CN"/>
              </w:rPr>
              <w:t>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eastAsia" w:ascii="楷体" w:hAnsi="楷体" w:eastAsia="楷体"/>
                <w:szCs w:val="21"/>
                <w:lang w:val="en-US" w:eastAsia="zh-CN"/>
              </w:rPr>
              <w:t>2023年2月3日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val="en-US" w:eastAsia="zh-CN"/>
              </w:rPr>
            </w:pPr>
            <w:r>
              <w:rPr>
                <w:rFonts w:hint="eastAsia" w:ascii="楷体" w:hAnsi="楷体" w:eastAsia="楷体"/>
                <w:szCs w:val="21"/>
                <w:lang w:val="en-US" w:eastAsia="zh-CN"/>
              </w:rPr>
              <w:t>3</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eastAsia="zh-CN"/>
              </w:rPr>
            </w:pPr>
            <w:r>
              <w:rPr>
                <w:rFonts w:hint="eastAsia" w:ascii="楷体" w:hAnsi="楷体" w:eastAsia="楷体"/>
                <w:szCs w:val="21"/>
                <w:lang w:val="en-US" w:eastAsia="zh-CN"/>
              </w:rPr>
              <w:t>2023年2月3日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eastAsia="zh-CN"/>
              </w:rPr>
            </w:pPr>
            <w:r>
              <w:rPr>
                <w:rFonts w:hint="eastAsia" w:ascii="楷体" w:hAnsi="楷体" w:eastAsia="楷体"/>
                <w:szCs w:val="21"/>
                <w:lang w:eastAsia="zh-CN"/>
              </w:rPr>
              <w:t>2023年8月10日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2023年8月4日9:00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2023年8月10日17:00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eastAsia="zh-CN"/>
              </w:rPr>
            </w:pPr>
            <w:r>
              <w:rPr>
                <w:rFonts w:hint="eastAsia" w:ascii="楷体" w:hAnsi="楷体" w:eastAsia="楷体"/>
                <w:szCs w:val="21"/>
                <w:lang w:eastAsia="zh-CN"/>
              </w:rPr>
              <w:t>2023年8月11日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val="en-US" w:eastAsia="zh-CN"/>
              </w:rPr>
            </w:pPr>
            <w:r>
              <w:rPr>
                <w:rFonts w:hint="eastAsia" w:ascii="楷体" w:hAnsi="楷体" w:eastAsia="楷体"/>
                <w:szCs w:val="21"/>
                <w:lang w:val="en-US" w:eastAsia="zh-CN"/>
              </w:rPr>
              <w:t>4</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rPr>
            </w:pPr>
            <w:r>
              <w:rPr>
                <w:rFonts w:hint="eastAsia" w:ascii="楷体" w:hAnsi="楷体" w:eastAsia="楷体"/>
                <w:szCs w:val="21"/>
                <w:lang w:eastAsia="zh-CN"/>
              </w:rPr>
              <w:t>2023年8月11日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kern w:val="2"/>
                <w:sz w:val="21"/>
                <w:szCs w:val="21"/>
                <w:lang w:val="en-US" w:eastAsia="zh-CN" w:bidi="ar-SA"/>
              </w:rPr>
            </w:pPr>
            <w:r>
              <w:rPr>
                <w:rFonts w:hint="eastAsia" w:ascii="楷体" w:hAnsi="楷体" w:eastAsia="楷体"/>
                <w:szCs w:val="21"/>
                <w:lang w:eastAsia="zh-CN"/>
              </w:rPr>
              <w:t>2024年2月19日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2024年2月13日9:00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val="en-US" w:eastAsia="zh-CN"/>
              </w:rPr>
            </w:pPr>
            <w:r>
              <w:rPr>
                <w:rFonts w:hint="eastAsia" w:ascii="楷体" w:hAnsi="楷体" w:eastAsia="楷体" w:cs="Times New Roman"/>
                <w:sz w:val="20"/>
                <w:szCs w:val="20"/>
                <w:lang w:eastAsia="zh-CN"/>
              </w:rPr>
              <w:t>2024年2月19日17:00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kern w:val="2"/>
                <w:sz w:val="21"/>
                <w:szCs w:val="21"/>
                <w:lang w:val="en-US" w:eastAsia="zh-CN" w:bidi="ar-SA"/>
              </w:rPr>
            </w:pPr>
            <w:r>
              <w:rPr>
                <w:rFonts w:hint="eastAsia" w:ascii="楷体" w:hAnsi="楷体" w:eastAsia="楷体"/>
                <w:szCs w:val="21"/>
                <w:lang w:eastAsia="zh-CN"/>
              </w:rPr>
              <w:t>2024年2月20日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szCs w:val="21"/>
                <w:lang w:val="en-US" w:eastAsia="zh-CN"/>
              </w:rPr>
            </w:pPr>
            <w:r>
              <w:rPr>
                <w:rFonts w:hint="eastAsia" w:ascii="楷体" w:hAnsi="楷体" w:eastAsia="楷体"/>
                <w:szCs w:val="21"/>
                <w:lang w:val="en-US" w:eastAsia="zh-CN"/>
              </w:rPr>
              <w:t>5</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eastAsia="zh-CN"/>
              </w:rPr>
            </w:pPr>
            <w:r>
              <w:rPr>
                <w:rFonts w:hint="eastAsia" w:ascii="楷体" w:hAnsi="楷体" w:eastAsia="楷体"/>
                <w:szCs w:val="21"/>
                <w:lang w:eastAsia="zh-CN"/>
              </w:rPr>
              <w:t>2024年2月20日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kern w:val="2"/>
                <w:sz w:val="21"/>
                <w:szCs w:val="21"/>
                <w:lang w:val="en-US" w:eastAsia="zh-CN" w:bidi="ar-SA"/>
              </w:rPr>
            </w:pPr>
            <w:r>
              <w:rPr>
                <w:rFonts w:hint="eastAsia" w:ascii="楷体" w:hAnsi="楷体" w:eastAsia="楷体"/>
                <w:szCs w:val="21"/>
                <w:lang w:eastAsia="zh-CN"/>
              </w:rPr>
              <w:t>2024年8月22日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2024年8月1</w:t>
            </w:r>
            <w:r>
              <w:rPr>
                <w:rFonts w:hint="eastAsia" w:ascii="楷体" w:hAnsi="楷体" w:eastAsia="楷体" w:cs="Times New Roman"/>
                <w:sz w:val="20"/>
                <w:szCs w:val="20"/>
                <w:lang w:val="en-US" w:eastAsia="zh-CN"/>
              </w:rPr>
              <w:t>4</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kern w:val="2"/>
                <w:sz w:val="21"/>
                <w:szCs w:val="21"/>
                <w:lang w:val="en-US" w:eastAsia="zh-CN" w:bidi="ar-SA"/>
              </w:rPr>
            </w:pPr>
            <w:r>
              <w:rPr>
                <w:rFonts w:hint="eastAsia" w:ascii="楷体" w:hAnsi="楷体" w:eastAsia="楷体" w:cs="Times New Roman"/>
                <w:sz w:val="20"/>
                <w:szCs w:val="20"/>
                <w:lang w:eastAsia="zh-CN"/>
              </w:rPr>
              <w:t>2024年8月22日17:00</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kern w:val="2"/>
                <w:sz w:val="21"/>
                <w:szCs w:val="21"/>
                <w:lang w:val="en-US" w:eastAsia="zh-CN" w:bidi="ar-SA"/>
              </w:rPr>
            </w:pPr>
            <w:r>
              <w:rPr>
                <w:rFonts w:hint="eastAsia" w:ascii="楷体" w:hAnsi="楷体" w:eastAsia="楷体"/>
                <w:szCs w:val="21"/>
                <w:lang w:eastAsia="zh-CN"/>
              </w:rPr>
              <w:t>2024年8月23日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szCs w:val="21"/>
                <w:lang w:val="en-US" w:eastAsia="zh-CN"/>
              </w:rPr>
            </w:pPr>
            <w:r>
              <w:rPr>
                <w:rFonts w:hint="eastAsia" w:ascii="楷体" w:hAnsi="楷体" w:eastAsia="楷体"/>
                <w:szCs w:val="21"/>
                <w:lang w:val="en-US" w:eastAsia="zh-CN"/>
              </w:rPr>
              <w:t>6</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eastAsia="zh-CN"/>
              </w:rPr>
            </w:pPr>
            <w:r>
              <w:rPr>
                <w:rFonts w:hint="eastAsia" w:ascii="楷体" w:hAnsi="楷体" w:eastAsia="楷体"/>
                <w:szCs w:val="21"/>
                <w:lang w:eastAsia="zh-CN"/>
              </w:rPr>
              <w:t>2024年8月23日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szCs w:val="21"/>
                <w:lang w:val="en-US" w:eastAsia="zh-CN"/>
              </w:rPr>
            </w:pPr>
            <w:r>
              <w:rPr>
                <w:rFonts w:hint="eastAsia" w:ascii="楷体" w:hAnsi="楷体" w:eastAsia="楷体"/>
                <w:szCs w:val="21"/>
                <w:lang w:val="en-US" w:eastAsia="zh-CN"/>
              </w:rPr>
              <w:t>2025年2月25日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val="en-US" w:eastAsia="zh-CN"/>
              </w:rPr>
            </w:pPr>
            <w:r>
              <w:rPr>
                <w:rFonts w:hint="eastAsia" w:ascii="楷体" w:hAnsi="楷体" w:eastAsia="楷体" w:cs="Times New Roman"/>
                <w:sz w:val="20"/>
                <w:szCs w:val="20"/>
                <w:lang w:val="en-US" w:eastAsia="zh-CN"/>
              </w:rPr>
              <w:t>2025年2月17日9:00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val="en-US" w:eastAsia="zh-CN"/>
              </w:rPr>
            </w:pPr>
            <w:r>
              <w:rPr>
                <w:rFonts w:hint="eastAsia" w:ascii="楷体" w:hAnsi="楷体" w:eastAsia="楷体" w:cs="Times New Roman"/>
                <w:sz w:val="20"/>
                <w:szCs w:val="20"/>
                <w:lang w:val="en-US" w:eastAsia="zh-CN"/>
              </w:rPr>
              <w:t>至</w:t>
            </w:r>
          </w:p>
          <w:p>
            <w:pPr>
              <w:keepNext w:val="0"/>
              <w:keepLines w:val="0"/>
              <w:suppressLineNumbers w:val="0"/>
              <w:spacing w:before="0" w:beforeAutospacing="0" w:after="0" w:afterAutospacing="0"/>
              <w:ind w:left="0" w:right="0"/>
              <w:jc w:val="center"/>
              <w:rPr>
                <w:rFonts w:hint="eastAsia" w:ascii="楷体" w:hAnsi="楷体" w:eastAsia="楷体"/>
                <w:szCs w:val="21"/>
                <w:lang w:val="en-US" w:eastAsia="zh-CN"/>
              </w:rPr>
            </w:pPr>
            <w:r>
              <w:rPr>
                <w:rFonts w:hint="eastAsia" w:ascii="楷体" w:hAnsi="楷体" w:eastAsia="楷体" w:cs="Times New Roman"/>
                <w:sz w:val="20"/>
                <w:szCs w:val="20"/>
                <w:lang w:val="en-US" w:eastAsia="zh-CN"/>
              </w:rPr>
              <w:t>2025年2月25日17:00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val="en-US" w:eastAsia="zh-CN"/>
              </w:rPr>
            </w:pPr>
            <w:r>
              <w:rPr>
                <w:rFonts w:hint="eastAsia" w:ascii="楷体" w:hAnsi="楷体" w:eastAsia="楷体"/>
                <w:szCs w:val="21"/>
                <w:lang w:val="en-US" w:eastAsia="zh-CN"/>
              </w:rPr>
              <w:t>2025年2月26日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szCs w:val="21"/>
                <w:lang w:val="en-US" w:eastAsia="zh-CN"/>
              </w:rPr>
            </w:pPr>
            <w:r>
              <w:rPr>
                <w:rFonts w:hint="eastAsia" w:ascii="楷体" w:hAnsi="楷体" w:eastAsia="楷体"/>
                <w:szCs w:val="21"/>
                <w:lang w:val="en-US" w:eastAsia="zh-CN"/>
              </w:rPr>
              <w:t>7</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eastAsia="zh-CN"/>
              </w:rPr>
            </w:pPr>
            <w:r>
              <w:rPr>
                <w:rFonts w:hint="eastAsia" w:ascii="楷体" w:eastAsia="楷体" w:cs="楷体"/>
                <w:color w:val="000000"/>
                <w:kern w:val="0"/>
                <w:sz w:val="20"/>
                <w:szCs w:val="20"/>
                <w:lang w:val="en-US" w:eastAsia="zh-CN"/>
              </w:rPr>
              <w:t>2025年2月26日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szCs w:val="21"/>
                <w:lang w:val="en-US" w:eastAsia="zh-CN"/>
              </w:rPr>
            </w:pPr>
            <w:r>
              <w:rPr>
                <w:rFonts w:hint="eastAsia" w:ascii="楷体" w:eastAsia="楷体" w:cs="楷体"/>
                <w:color w:val="000000"/>
                <w:kern w:val="0"/>
                <w:sz w:val="20"/>
                <w:szCs w:val="20"/>
                <w:lang w:val="en-US" w:eastAsia="zh-CN"/>
              </w:rPr>
              <w:t>2025年9月1日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val="en-US" w:eastAsia="zh-CN"/>
              </w:rPr>
            </w:pPr>
            <w:r>
              <w:rPr>
                <w:rFonts w:hint="eastAsia" w:ascii="楷体" w:hAnsi="楷体" w:eastAsia="楷体" w:cs="Times New Roman"/>
                <w:sz w:val="20"/>
                <w:szCs w:val="20"/>
                <w:lang w:val="en-US" w:eastAsia="zh-CN"/>
              </w:rPr>
              <w:t>2025年8月22日9:00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val="en-US" w:eastAsia="zh-CN"/>
              </w:rPr>
            </w:pPr>
            <w:r>
              <w:rPr>
                <w:rFonts w:hint="eastAsia" w:ascii="楷体" w:hAnsi="楷体" w:eastAsia="楷体" w:cs="Times New Roman"/>
                <w:sz w:val="20"/>
                <w:szCs w:val="20"/>
                <w:lang w:val="en-US" w:eastAsia="zh-CN"/>
              </w:rPr>
              <w:t>至</w:t>
            </w:r>
          </w:p>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Times New Roman"/>
                <w:sz w:val="20"/>
                <w:szCs w:val="20"/>
                <w:lang w:val="en-US" w:eastAsia="zh-CN"/>
              </w:rPr>
              <w:t>2025年9月1日17:00</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szCs w:val="21"/>
                <w:lang w:val="en-US" w:eastAsia="zh-CN"/>
              </w:rPr>
            </w:pPr>
            <w:r>
              <w:rPr>
                <w:rFonts w:hint="eastAsia" w:ascii="楷体" w:eastAsia="楷体" w:cs="楷体"/>
                <w:color w:val="000000"/>
                <w:kern w:val="0"/>
                <w:sz w:val="20"/>
                <w:szCs w:val="20"/>
                <w:lang w:val="en-US" w:eastAsia="zh-CN"/>
              </w:rPr>
              <w:t>2025年9月2日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szCs w:val="21"/>
                <w:lang w:val="en-US" w:eastAsia="zh-CN"/>
              </w:rPr>
            </w:pPr>
            <w:r>
              <w:rPr>
                <w:rFonts w:hint="eastAsia" w:ascii="楷体" w:hAnsi="楷体" w:eastAsia="楷体"/>
                <w:szCs w:val="21"/>
                <w:lang w:val="en-US" w:eastAsia="zh-CN"/>
              </w:rPr>
              <w:t>8</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szCs w:val="21"/>
                <w:lang w:val="en-US" w:eastAsia="zh-CN"/>
              </w:rPr>
            </w:pPr>
            <w:r>
              <w:rPr>
                <w:rFonts w:hint="eastAsia" w:ascii="楷体" w:eastAsia="楷体" w:cs="楷体"/>
                <w:color w:val="000000"/>
                <w:kern w:val="0"/>
                <w:sz w:val="20"/>
                <w:szCs w:val="20"/>
                <w:lang w:val="en-US" w:eastAsia="zh-CN"/>
              </w:rPr>
              <w:t>2025年9月2日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eastAsia="楷体" w:cs="楷体"/>
                <w:color w:val="000000"/>
                <w:kern w:val="0"/>
                <w:sz w:val="20"/>
                <w:szCs w:val="20"/>
                <w:lang w:val="en-US" w:eastAsia="zh-CN"/>
              </w:rPr>
            </w:pPr>
            <w:r>
              <w:rPr>
                <w:rFonts w:hint="eastAsia" w:ascii="楷体" w:eastAsia="楷体" w:cs="楷体"/>
                <w:color w:val="000000"/>
                <w:kern w:val="0"/>
                <w:sz w:val="20"/>
                <w:szCs w:val="20"/>
                <w:lang w:val="en-US" w:eastAsia="zh-CN"/>
              </w:rPr>
              <w:t>2026年3月9日</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楷体"/>
                <w:i w:val="0"/>
                <w:iCs w:val="0"/>
                <w:color w:val="000000"/>
                <w:kern w:val="0"/>
                <w:sz w:val="20"/>
                <w:szCs w:val="20"/>
                <w:u w:val="none"/>
                <w:lang w:val="en-US" w:eastAsia="zh-CN" w:bidi="ar"/>
              </w:rPr>
              <w:t>本投资周期申购/赎回确认日前7个工作日，具体时间以销售机构展示为准。</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eastAsia="楷体" w:cs="楷体"/>
                <w:color w:val="000000"/>
                <w:kern w:val="0"/>
                <w:sz w:val="20"/>
                <w:szCs w:val="20"/>
                <w:lang w:val="en-US" w:eastAsia="zh-CN"/>
              </w:rPr>
            </w:pPr>
            <w:r>
              <w:rPr>
                <w:rFonts w:hint="eastAsia" w:ascii="楷体" w:eastAsia="楷体" w:cs="楷体"/>
                <w:color w:val="000000"/>
                <w:kern w:val="0"/>
                <w:sz w:val="20"/>
                <w:szCs w:val="20"/>
                <w:lang w:val="en-US" w:eastAsia="zh-CN"/>
              </w:rPr>
              <w:t>2026年3月10日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szCs w:val="21"/>
                <w:lang w:val="en-US" w:eastAsia="zh-CN"/>
              </w:rPr>
            </w:pPr>
            <w:r>
              <w:rPr>
                <w:rFonts w:hint="eastAsia" w:ascii="楷体" w:hAnsi="楷体" w:eastAsia="楷体"/>
                <w:szCs w:val="21"/>
                <w:lang w:val="en-US" w:eastAsia="zh-CN"/>
              </w:rPr>
              <w:t>9</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eastAsia="楷体" w:cs="楷体"/>
                <w:color w:val="000000"/>
                <w:kern w:val="0"/>
                <w:sz w:val="20"/>
                <w:szCs w:val="20"/>
                <w:lang w:val="en-US" w:eastAsia="zh-CN"/>
              </w:rPr>
            </w:pPr>
            <w:r>
              <w:rPr>
                <w:rFonts w:hint="eastAsia" w:ascii="楷体" w:eastAsia="楷体" w:cs="楷体"/>
                <w:color w:val="000000"/>
                <w:kern w:val="0"/>
                <w:sz w:val="20"/>
                <w:szCs w:val="20"/>
                <w:lang w:val="en-US" w:eastAsia="zh-CN"/>
              </w:rPr>
              <w:t>2026年3月10日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eastAsia="楷体" w:cs="楷体"/>
                <w:color w:val="000000"/>
                <w:kern w:val="0"/>
                <w:sz w:val="20"/>
                <w:szCs w:val="20"/>
                <w:lang w:val="en-US" w:eastAsia="zh-CN"/>
              </w:rPr>
            </w:pPr>
            <w:r>
              <w:rPr>
                <w:rFonts w:hint="eastAsia" w:ascii="楷体" w:eastAsia="楷体" w:cs="楷体"/>
                <w:color w:val="000000"/>
                <w:kern w:val="0"/>
                <w:sz w:val="20"/>
                <w:szCs w:val="20"/>
                <w:lang w:val="en-US" w:eastAsia="zh-CN"/>
              </w:rPr>
              <w:t>-</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Times New Roman"/>
                <w:sz w:val="20"/>
                <w:szCs w:val="20"/>
                <w:lang w:val="en-US" w:eastAsia="zh-CN"/>
              </w:rPr>
              <w:t>-</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eastAsia="楷体" w:cs="楷体"/>
                <w:color w:val="000000"/>
                <w:kern w:val="0"/>
                <w:sz w:val="20"/>
                <w:szCs w:val="20"/>
                <w:lang w:val="en-US" w:eastAsia="zh-CN"/>
              </w:rPr>
            </w:pPr>
            <w:r>
              <w:rPr>
                <w:rFonts w:hint="eastAsia" w:ascii="楷体" w:eastAsia="楷体" w:cs="楷体"/>
                <w:color w:val="000000"/>
                <w:kern w:val="0"/>
                <w:sz w:val="20"/>
                <w:szCs w:val="20"/>
                <w:lang w:val="en-US" w:eastAsia="zh-CN"/>
              </w:rPr>
              <w:t>-</w:t>
            </w:r>
          </w:p>
        </w:tc>
      </w:tr>
    </w:tbl>
    <w:p>
      <w:pPr>
        <w:numPr>
          <w:ilvl w:val="0"/>
          <w:numId w:val="14"/>
        </w:numPr>
        <w:tabs>
          <w:tab w:val="left" w:pos="728"/>
        </w:tabs>
        <w:ind w:left="0" w:firstLine="480" w:firstLineChars="200"/>
        <w:rPr>
          <w:rFonts w:hint="eastAsia" w:ascii="楷体" w:hAnsi="楷体" w:eastAsia="楷体"/>
          <w:sz w:val="24"/>
          <w:szCs w:val="24"/>
        </w:rPr>
      </w:pPr>
      <w:r>
        <w:rPr>
          <w:rFonts w:ascii="楷体" w:hAnsi="楷体" w:eastAsia="楷体"/>
          <w:sz w:val="24"/>
          <w:szCs w:val="24"/>
        </w:rPr>
        <w:t>申购</w:t>
      </w:r>
      <w:r>
        <w:rPr>
          <w:rFonts w:hint="eastAsia" w:ascii="楷体" w:hAnsi="楷体" w:eastAsia="楷体"/>
          <w:sz w:val="24"/>
          <w:szCs w:val="24"/>
        </w:rPr>
        <w:t>、</w:t>
      </w:r>
      <w:r>
        <w:rPr>
          <w:rFonts w:ascii="楷体" w:hAnsi="楷体" w:eastAsia="楷体"/>
          <w:sz w:val="24"/>
          <w:szCs w:val="24"/>
        </w:rPr>
        <w:t>赎回的数额限制</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3572"/>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份额</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申购</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eastAsia="zh-CN"/>
              </w:rPr>
            </w:pPr>
            <w:r>
              <w:rPr>
                <w:rFonts w:hint="eastAsia" w:ascii="楷体" w:hAnsi="楷体" w:eastAsia="楷体" w:cs="Calibri"/>
                <w:b/>
                <w:bCs/>
                <w:sz w:val="20"/>
                <w:szCs w:val="20"/>
                <w:lang w:val="en-US" w:eastAsia="zh-CN"/>
              </w:rPr>
              <w:t>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A份额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lang w:val="en-US"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C份额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val="en-US"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D份额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0"/>
                <w:sz w:val="20"/>
                <w:szCs w:val="20"/>
                <w:lang w:val="en-US" w:eastAsia="zh-CN" w:bidi="ar-SA"/>
              </w:rPr>
            </w:pPr>
            <w:r>
              <w:rPr>
                <w:rFonts w:hint="eastAsia" w:ascii="楷体" w:hAnsi="楷体" w:eastAsia="楷体" w:cs="Calibri"/>
                <w:sz w:val="20"/>
                <w:szCs w:val="20"/>
                <w:lang w:eastAsia="zh-CN"/>
              </w:rPr>
              <w:t>投资者每次申购金额以10,000元的整数倍递增，申购时若为首次投资，</w:t>
            </w:r>
            <w:r>
              <w:rPr>
                <w:rFonts w:hint="eastAsia" w:ascii="楷体" w:hAnsi="楷体" w:eastAsia="楷体" w:cs="Calibri"/>
                <w:sz w:val="20"/>
                <w:szCs w:val="20"/>
                <w:lang w:val="en-US" w:eastAsia="zh-CN"/>
              </w:rPr>
              <w:t>个人投资者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00,000元，</w:t>
            </w:r>
            <w:r>
              <w:rPr>
                <w:rFonts w:hint="eastAsia" w:ascii="楷体" w:hAnsi="楷体" w:eastAsia="楷体" w:cs="Calibri"/>
                <w:sz w:val="20"/>
                <w:szCs w:val="20"/>
                <w:lang w:val="en-US" w:eastAsia="zh-CN"/>
              </w:rPr>
              <w:t>机构投资者申购金额不得少于50,000,000元，</w:t>
            </w:r>
            <w:r>
              <w:rPr>
                <w:rFonts w:hint="eastAsia" w:ascii="楷体" w:hAnsi="楷体" w:eastAsia="楷体" w:cs="Calibri"/>
                <w:sz w:val="20"/>
                <w:szCs w:val="20"/>
                <w:lang w:eastAsia="zh-CN"/>
              </w:rPr>
              <w:t>并</w:t>
            </w:r>
            <w:r>
              <w:rPr>
                <w:rFonts w:hint="eastAsia" w:ascii="楷体" w:hAnsi="楷体" w:eastAsia="楷体" w:cs="Calibri"/>
                <w:sz w:val="20"/>
                <w:szCs w:val="20"/>
                <w:lang w:val="en-US" w:eastAsia="zh-CN"/>
              </w:rPr>
              <w:t>均</w:t>
            </w:r>
            <w:r>
              <w:rPr>
                <w:rFonts w:hint="eastAsia" w:ascii="楷体" w:hAnsi="楷体" w:eastAsia="楷体" w:cs="Calibri"/>
                <w:sz w:val="20"/>
                <w:szCs w:val="20"/>
                <w:lang w:eastAsia="zh-CN"/>
              </w:rPr>
              <w:t>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0"/>
                <w:sz w:val="20"/>
                <w:szCs w:val="20"/>
                <w:lang w:val="en-US" w:eastAsia="zh-CN" w:bidi="ar-SA"/>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F份额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bl>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撤单操作：在开放计划约定时间内提交的申购/赎回申请可以在产品开放日17:00前撤销，之后不得撤销。（以各销售机构设置的撤单截止时间为准）</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申购、赎回的操作</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提出申购、赎回申请</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投资者必须在产品开放计划内提出申购、赎回申请。投资者提出申购申请时，须备足购买资金。投资者提出赎回申请时，须有足够的理财产品份额余额。</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申购、赎回的确认</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管理人在每个开放日后的第1个工作日对投资者的申购、赎回申请的有效性进行登记并确认。</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申购、赎回的支付</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元，</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p>
    <w:p>
      <w:pPr>
        <w:numPr>
          <w:ilvl w:val="0"/>
          <w:numId w:val="1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假定投资者申购10,000.00元，对应开放日产品单位净值为0.9975（不满足分红条件）。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投资者申购确认份额=10,000.00/0.9975=10,025.06份</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投资者现金分红金额计算示例详见上文“九、收益分配”。</w:t>
      </w:r>
    </w:p>
    <w:p>
      <w:pPr>
        <w:numPr>
          <w:ilvl w:val="0"/>
          <w:numId w:val="1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w:t>
      </w:r>
      <w:r>
        <w:rPr>
          <w:rFonts w:hint="eastAsia" w:ascii="楷体" w:hAnsi="楷体" w:eastAsia="楷体"/>
          <w:sz w:val="24"/>
          <w:szCs w:val="24"/>
        </w:rPr>
        <w:t>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.00*0.9975=9,975.00元</w:t>
      </w:r>
    </w:p>
    <w:p>
      <w:pPr>
        <w:ind w:firstLine="480" w:firstLineChars="200"/>
        <w:rPr>
          <w:rFonts w:hint="eastAsia" w:ascii="楷体" w:hAnsi="楷体" w:eastAsia="楷体"/>
          <w:sz w:val="24"/>
          <w:szCs w:val="24"/>
        </w:rPr>
      </w:pPr>
      <w:r>
        <w:rPr>
          <w:rFonts w:ascii="楷体" w:hAnsi="楷体" w:eastAsia="楷体"/>
          <w:sz w:val="24"/>
          <w:szCs w:val="24"/>
        </w:rPr>
        <w:t>投资者该投资周期无现金分红</w:t>
      </w:r>
      <w:r>
        <w:rPr>
          <w:rFonts w:hint="eastAsia" w:ascii="楷体" w:hAnsi="楷体" w:eastAsia="楷体"/>
          <w:sz w:val="24"/>
          <w:szCs w:val="24"/>
        </w:rPr>
        <w:t>，详见上文“九、收益分配”。</w:t>
      </w:r>
    </w:p>
    <w:p>
      <w:pPr>
        <w:ind w:firstLine="482" w:firstLineChars="200"/>
        <w:rPr>
          <w:rFonts w:hint="eastAsia" w:ascii="楷体" w:hAnsi="楷体" w:eastAsia="楷体"/>
          <w:b/>
          <w:sz w:val="24"/>
          <w:szCs w:val="24"/>
          <w:u w:val="single"/>
        </w:rPr>
      </w:pPr>
      <w:r>
        <w:rPr>
          <w:rFonts w:hint="eastAsia" w:ascii="楷体" w:hAnsi="楷体" w:eastAsia="楷体"/>
          <w:b/>
          <w:sz w:val="24"/>
          <w:szCs w:val="24"/>
          <w:u w:val="single"/>
        </w:rPr>
        <w:t>最不利的情形下，投资者可能损失100%本金。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巨额赎回的认定及处理</w:t>
      </w:r>
    </w:p>
    <w:p>
      <w:pPr>
        <w:numPr>
          <w:ilvl w:val="0"/>
          <w:numId w:val="1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巨额赎回的认定</w:t>
      </w:r>
    </w:p>
    <w:p>
      <w:pPr>
        <w:ind w:firstLine="480" w:firstLineChars="200"/>
        <w:rPr>
          <w:rFonts w:ascii="楷体" w:hAnsi="楷体" w:eastAsia="楷体"/>
          <w:sz w:val="24"/>
          <w:szCs w:val="24"/>
        </w:rPr>
      </w:pPr>
      <w:r>
        <w:rPr>
          <w:rFonts w:hint="eastAsia" w:ascii="楷体" w:hAnsi="楷体" w:eastAsia="楷体"/>
          <w:sz w:val="24"/>
          <w:szCs w:val="24"/>
        </w:rPr>
        <w:t>理财产品每个开放日投资者净赎回额（赎回申请份额总数扣除申购申请份额总数）超过本产品上一工作日日终份额10%时，即为发生巨额赎回。</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ascii="楷体" w:hAnsi="楷体" w:eastAsia="楷体"/>
          <w:sz w:val="24"/>
          <w:szCs w:val="24"/>
        </w:rPr>
      </w:pPr>
      <w:r>
        <w:rPr>
          <w:rFonts w:hint="eastAsia" w:ascii="楷体" w:hAnsi="楷体" w:eastAsia="楷体"/>
          <w:sz w:val="24"/>
          <w:szCs w:val="24"/>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ascii="楷体" w:hAnsi="楷体" w:eastAsia="楷体"/>
          <w:sz w:val="24"/>
          <w:szCs w:val="24"/>
        </w:rPr>
      </w:pPr>
      <w:r>
        <w:rPr>
          <w:rFonts w:hint="eastAsia" w:ascii="楷体" w:hAnsi="楷体" w:eastAsia="楷体"/>
          <w:sz w:val="24"/>
          <w:szCs w:val="24"/>
        </w:rPr>
        <w:t>（1）全额赎回：当产品管理人有能力兑付投资者的全部赎回申请时，将在申请确认日按投资者申请赎回份额执行正常赎回程序。</w:t>
      </w:r>
    </w:p>
    <w:p>
      <w:pPr>
        <w:ind w:firstLine="480" w:firstLineChars="200"/>
        <w:rPr>
          <w:rFonts w:ascii="楷体" w:hAnsi="楷体" w:eastAsia="楷体"/>
          <w:sz w:val="24"/>
          <w:szCs w:val="24"/>
        </w:rPr>
      </w:pPr>
      <w:r>
        <w:rPr>
          <w:rFonts w:hint="eastAsia" w:ascii="楷体" w:hAnsi="楷体" w:eastAsia="楷体"/>
          <w:sz w:val="24"/>
          <w:szCs w:val="24"/>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rPr>
      </w:pPr>
      <w:r>
        <w:rPr>
          <w:rFonts w:hint="eastAsia" w:ascii="楷体" w:hAnsi="楷体" w:eastAsia="楷体"/>
          <w:sz w:val="24"/>
          <w:szCs w:val="24"/>
        </w:rPr>
        <w:t>（3）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lang w:val="en-US" w:eastAsia="zh-CN"/>
        </w:rPr>
        <w:t>销售</w:t>
      </w:r>
      <w:r>
        <w:rPr>
          <w:rFonts w:hint="eastAsia" w:ascii="楷体" w:hAnsi="楷体" w:eastAsia="楷体"/>
          <w:sz w:val="24"/>
          <w:szCs w:val="24"/>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赎回资金到账：未发生</w:t>
      </w:r>
      <w:r>
        <w:rPr>
          <w:rFonts w:ascii="楷体" w:hAnsi="楷体" w:eastAsia="楷体" w:cs="Calibri"/>
          <w:sz w:val="24"/>
          <w:szCs w:val="24"/>
          <w:highlight w:val="none"/>
        </w:rPr>
        <w:t>巨额赎回的情况下，</w:t>
      </w:r>
      <w:r>
        <w:rPr>
          <w:rFonts w:hint="eastAsia" w:ascii="楷体" w:hAnsi="楷体" w:eastAsia="楷体" w:cs="Calibri"/>
          <w:sz w:val="24"/>
          <w:szCs w:val="24"/>
          <w:highlight w:val="none"/>
        </w:rPr>
        <w:t>实际赎回确认日后</w:t>
      </w:r>
      <w:r>
        <w:rPr>
          <w:rFonts w:hint="eastAsia" w:ascii="楷体" w:hAnsi="楷体" w:eastAsia="楷体" w:cs="Calibri"/>
          <w:sz w:val="24"/>
          <w:szCs w:val="24"/>
          <w:highlight w:val="none"/>
          <w:lang w:val="en-US" w:eastAsia="zh-CN"/>
        </w:rPr>
        <w:t>2</w:t>
      </w:r>
      <w:r>
        <w:rPr>
          <w:rFonts w:hint="eastAsia" w:ascii="楷体" w:hAnsi="楷体" w:eastAsia="楷体" w:cs="Calibri"/>
          <w:sz w:val="24"/>
          <w:szCs w:val="24"/>
          <w:highlight w:val="none"/>
        </w:rPr>
        <w:t>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特殊情形及处理</w:t>
      </w:r>
    </w:p>
    <w:p>
      <w:pPr>
        <w:ind w:firstLine="482" w:firstLineChars="200"/>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（1）不可抗力的原因导致产品无法正常运作；</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（2）超出产品单一投资者持有上限；</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（1）不可抗力的原因导致管理人不能支付赎回款项；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（2）触发巨额赎回条款；</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（3）发生《理财产品说明书》约定的暂停估值的情形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（4）当接受某笔或某些赎回申请可能对存量理财计划份额持有人利益构成潜在重大不利影响时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（5）发生单个投资者单个开放日申请赎回理财计划份额超过理财产品总份额10%的情形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w:t>
      </w:r>
      <w:r>
        <w:rPr>
          <w:rFonts w:hint="eastAsia" w:ascii="楷体" w:hAnsi="楷体" w:eastAsia="楷体" w:cs="Calibri"/>
          <w:sz w:val="24"/>
          <w:szCs w:val="24"/>
          <w:lang w:val="en-US" w:eastAsia="zh-CN"/>
        </w:rPr>
        <w:t>赎回</w:t>
      </w:r>
      <w:r>
        <w:rPr>
          <w:rFonts w:hint="eastAsia" w:ascii="楷体" w:hAnsi="楷体" w:eastAsia="楷体" w:cs="Calibri"/>
          <w:sz w:val="24"/>
          <w:szCs w:val="24"/>
        </w:rPr>
        <w:t>业务的办理。</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产品估值</w:t>
      </w:r>
    </w:p>
    <w:p>
      <w:pPr>
        <w:numPr>
          <w:ilvl w:val="0"/>
          <w:numId w:val="19"/>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估值要求</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本产品资产估值的目的是客观、准确的反映资产净值，确定理财产品资产净值，并为理财产品的</w:t>
      </w:r>
      <w:r>
        <w:rPr>
          <w:rFonts w:hint="eastAsia" w:ascii="楷体" w:hAnsi="楷体" w:eastAsia="楷体"/>
          <w:sz w:val="24"/>
          <w:szCs w:val="24"/>
          <w:lang w:eastAsia="zh-CN"/>
        </w:rPr>
        <w:t>申购、赎回和</w:t>
      </w:r>
      <w:r>
        <w:rPr>
          <w:rFonts w:hint="eastAsia" w:ascii="楷体" w:hAnsi="楷体" w:eastAsia="楷体"/>
          <w:sz w:val="24"/>
          <w:szCs w:val="24"/>
        </w:rPr>
        <w:t>兑付提供计价依据。</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本产品单位净值精确到小数点后</w:t>
      </w:r>
      <w:r>
        <w:rPr>
          <w:rFonts w:hint="eastAsia" w:ascii="楷体" w:hAnsi="楷体" w:eastAsia="楷体"/>
          <w:sz w:val="24"/>
          <w:szCs w:val="24"/>
          <w:lang w:val="en-US" w:eastAsia="zh-CN"/>
        </w:rPr>
        <w:t>6</w:t>
      </w:r>
      <w:r>
        <w:rPr>
          <w:rFonts w:hint="eastAsia" w:ascii="楷体" w:hAnsi="楷体" w:eastAsia="楷体"/>
          <w:sz w:val="24"/>
          <w:szCs w:val="24"/>
        </w:rPr>
        <w:t>位，小数点</w:t>
      </w:r>
      <w:r>
        <w:rPr>
          <w:rFonts w:hint="eastAsia" w:ascii="楷体" w:hAnsi="楷体" w:eastAsia="楷体"/>
          <w:sz w:val="24"/>
          <w:szCs w:val="24"/>
          <w:lang w:val="en-US" w:eastAsia="zh-CN"/>
        </w:rPr>
        <w:t>6</w:t>
      </w:r>
      <w:r>
        <w:rPr>
          <w:rFonts w:hint="eastAsia" w:ascii="楷体" w:hAnsi="楷体" w:eastAsia="楷体"/>
          <w:sz w:val="24"/>
          <w:szCs w:val="24"/>
        </w:rPr>
        <w:t>位后截位。</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本产品每日估值，存续期内每周按说明书约定方式披露单位净值，每个开放日结束后2个工作日内通过本理财产品说明书约定方式披露上一投资周期终止日的单位净值、份额累计净值、认/申购价格和赎回价格。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估值方法</w:t>
      </w:r>
    </w:p>
    <w:p>
      <w:pPr>
        <w:numPr>
          <w:ilvl w:val="0"/>
          <w:numId w:val="2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存款类资产、货币市场工具：以本金列示，逐日计提利息。</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货币市场基金：以估值截止时间点能够取得的最新每万份收益进行估值。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债券类资产：按公允价值进行估值，采用市价、第三方估值机构提供的估值价格、合理的估值技术或监管机构认可的其他估值方法进行估值。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债权类资产：按公允价值进行估值，采用合理的估值技术或监管机构认可的估值方法进行估值。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资管计划管理人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理财产品的终止</w:t>
      </w:r>
    </w:p>
    <w:p>
      <w:pPr>
        <w:numPr>
          <w:ilvl w:val="0"/>
          <w:numId w:val="23"/>
        </w:numPr>
        <w:tabs>
          <w:tab w:val="left" w:pos="728"/>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提前终止</w:t>
      </w:r>
    </w:p>
    <w:p>
      <w:pPr>
        <w:ind w:firstLine="480" w:firstLineChars="200"/>
        <w:rPr>
          <w:rFonts w:hint="eastAsia" w:ascii="楷体" w:hAnsi="楷体" w:eastAsia="楷体"/>
          <w:color w:val="auto"/>
          <w:sz w:val="24"/>
          <w:szCs w:val="24"/>
          <w:highlight w:val="none"/>
        </w:rPr>
      </w:pPr>
      <w:r>
        <w:rPr>
          <w:rFonts w:hint="eastAsia" w:ascii="楷体" w:hAnsi="楷体" w:eastAsia="楷体"/>
          <w:color w:val="auto"/>
          <w:sz w:val="24"/>
          <w:szCs w:val="24"/>
          <w:highlight w:val="none"/>
        </w:rPr>
        <w:t>在理财产品投资运作期间内，投资者无权要求提前终止该理财产品。在理财产品投资运作期间内，当出现下列情形之一时，产品管理人有权</w:t>
      </w:r>
      <w:r>
        <w:rPr>
          <w:rFonts w:hint="eastAsia" w:ascii="楷体" w:hAnsi="楷体" w:eastAsia="楷体"/>
          <w:color w:val="auto"/>
          <w:sz w:val="24"/>
          <w:szCs w:val="24"/>
          <w:highlight w:val="none"/>
          <w:lang w:val="en-US" w:eastAsia="zh-CN"/>
        </w:rPr>
        <w:t>提前</w:t>
      </w:r>
      <w:r>
        <w:rPr>
          <w:rFonts w:hint="eastAsia" w:ascii="楷体" w:hAnsi="楷体" w:eastAsia="楷体"/>
          <w:color w:val="auto"/>
          <w:sz w:val="24"/>
          <w:szCs w:val="24"/>
          <w:highlight w:val="none"/>
        </w:rPr>
        <w:t>终止本产品：</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因不可抗力原因导致理财产品无法继续运作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因法律法规变化或国家金融政策调整、紧急措施出台影响产品继续正常运作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ascii="楷体" w:hAnsi="楷体" w:eastAsia="楷体" w:cs="Calibri"/>
          <w:sz w:val="24"/>
          <w:szCs w:val="24"/>
          <w:highlight w:val="none"/>
        </w:rPr>
      </w:pPr>
      <w:r>
        <w:rPr>
          <w:rFonts w:hint="eastAsia" w:ascii="楷体" w:hAnsi="楷体" w:eastAsia="楷体" w:cs="Calibri"/>
          <w:color w:val="auto"/>
          <w:sz w:val="24"/>
          <w:szCs w:val="24"/>
          <w:highlight w:val="none"/>
        </w:rPr>
        <w:t>法律法规规定或监管部门认定的</w:t>
      </w:r>
      <w:r>
        <w:rPr>
          <w:rFonts w:hint="eastAsia" w:ascii="楷体" w:hAnsi="楷体" w:eastAsia="楷体" w:cs="Calibri"/>
          <w:sz w:val="24"/>
          <w:szCs w:val="24"/>
          <w:highlight w:val="none"/>
          <w:lang w:val="en-US" w:eastAsia="zh-CN"/>
        </w:rPr>
        <w:t>其他情形</w:t>
      </w:r>
      <w:r>
        <w:rPr>
          <w:rFonts w:hint="eastAsia" w:ascii="楷体" w:hAnsi="楷体" w:eastAsia="楷体" w:cs="Calibri"/>
          <w:sz w:val="24"/>
          <w:szCs w:val="24"/>
          <w:highlight w:val="none"/>
        </w:rPr>
        <w:t>。</w:t>
      </w:r>
    </w:p>
    <w:p>
      <w:pPr>
        <w:numPr>
          <w:ilvl w:val="0"/>
          <w:numId w:val="0"/>
        </w:numPr>
        <w:tabs>
          <w:tab w:val="left" w:pos="1092"/>
        </w:tabs>
        <w:ind w:left="0" w:leftChars="0" w:firstLine="480" w:firstLineChars="200"/>
        <w:rPr>
          <w:rFonts w:hint="eastAsia" w:ascii="楷体" w:hAnsi="楷体" w:eastAsia="楷体" w:cs="Calibri"/>
          <w:color w:val="auto"/>
          <w:sz w:val="24"/>
          <w:szCs w:val="24"/>
          <w:highlight w:val="none"/>
        </w:rPr>
      </w:pPr>
      <w:r>
        <w:rPr>
          <w:rFonts w:hint="eastAsia" w:ascii="楷体" w:hAnsi="楷体" w:eastAsia="楷体"/>
          <w:sz w:val="24"/>
          <w:szCs w:val="24"/>
          <w:highlight w:val="none"/>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numPr>
          <w:ilvl w:val="0"/>
          <w:numId w:val="0"/>
        </w:numPr>
        <w:tabs>
          <w:tab w:val="left" w:pos="1092"/>
        </w:tabs>
        <w:ind w:firstLine="480" w:firstLineChars="200"/>
        <w:rPr>
          <w:rFonts w:hint="eastAsia" w:ascii="楷体" w:hAnsi="楷体" w:eastAsia="楷体"/>
          <w:sz w:val="24"/>
          <w:szCs w:val="24"/>
        </w:rPr>
      </w:pPr>
      <w:r>
        <w:rPr>
          <w:rFonts w:hint="eastAsia" w:ascii="楷体" w:hAnsi="楷体" w:eastAsia="楷体"/>
          <w:color w:val="auto"/>
          <w:sz w:val="24"/>
          <w:szCs w:val="24"/>
          <w:highlight w:val="none"/>
        </w:rPr>
        <w:t>如理财产品管理人提前终止本理财产品，将至少提前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3"/>
        </w:numPr>
        <w:tabs>
          <w:tab w:val="left" w:pos="728"/>
        </w:tabs>
        <w:ind w:left="0" w:firstLine="480" w:firstLineChars="200"/>
        <w:rPr>
          <w:rFonts w:hint="eastAsia" w:ascii="楷体" w:hAnsi="楷体" w:eastAsia="楷体" w:cs="Calibri"/>
          <w:b w:val="0"/>
          <w:color w:val="auto"/>
          <w:sz w:val="24"/>
          <w:szCs w:val="24"/>
          <w:highlight w:val="none"/>
        </w:rPr>
      </w:pPr>
      <w:r>
        <w:rPr>
          <w:rFonts w:hint="eastAsia" w:ascii="楷体" w:hAnsi="楷体" w:eastAsia="楷体" w:cs="Calibri"/>
          <w:b w:val="0"/>
          <w:color w:val="auto"/>
          <w:sz w:val="24"/>
          <w:szCs w:val="24"/>
          <w:highlight w:val="none"/>
          <w:lang w:val="en-US" w:eastAsia="zh-CN"/>
        </w:rPr>
        <w:t>正常兑付</w:t>
      </w:r>
    </w:p>
    <w:p>
      <w:pPr>
        <w:ind w:firstLine="480" w:firstLineChars="200"/>
        <w:rPr>
          <w:rFonts w:hint="default" w:ascii="楷体" w:hAnsi="楷体" w:eastAsia="楷体"/>
          <w:sz w:val="24"/>
          <w:szCs w:val="24"/>
          <w:lang w:val="en-US" w:eastAsia="zh-CN"/>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★延期兑付</w:t>
      </w:r>
    </w:p>
    <w:p>
      <w:pPr>
        <w:ind w:firstLine="480" w:firstLineChars="200"/>
        <w:rPr>
          <w:rFonts w:hint="eastAsia" w:ascii="楷体" w:hAnsi="楷体" w:eastAsia="楷体"/>
          <w:color w:val="auto"/>
          <w:sz w:val="24"/>
          <w:szCs w:val="24"/>
          <w:highlight w:val="none"/>
        </w:rPr>
      </w:pPr>
      <w:r>
        <w:rPr>
          <w:rFonts w:hint="eastAsia" w:ascii="楷体" w:hAnsi="楷体" w:eastAsia="楷体"/>
          <w:color w:val="auto"/>
          <w:sz w:val="24"/>
          <w:szCs w:val="24"/>
          <w:highlight w:val="none"/>
        </w:rPr>
        <w:t>出现以下情况，产品管理人有权延长本理财产品的终止日：</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产品终止日遇非工作日则顺延至下一工作日，投资者清算资金到账日将相应调整；</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因不可抗力、市场发生重大变化等原因导致产品项下对应的投资标的无法及时变现、无法及时收回资金；</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法律法规规定或监管部门认定的其他情形。</w:t>
      </w:r>
    </w:p>
    <w:p>
      <w:pPr>
        <w:ind w:firstLine="480" w:firstLineChars="200"/>
        <w:rPr>
          <w:rFonts w:hint="eastAsia" w:ascii="楷体" w:hAnsi="楷体" w:eastAsia="楷体"/>
          <w:sz w:val="24"/>
          <w:szCs w:val="24"/>
          <w:highlight w:val="none"/>
        </w:rPr>
      </w:pPr>
      <w:r>
        <w:rPr>
          <w:rFonts w:hint="eastAsia" w:ascii="楷体" w:hAnsi="楷体" w:eastAsia="楷体"/>
          <w:color w:val="auto"/>
          <w:sz w:val="24"/>
          <w:szCs w:val="24"/>
          <w:highlight w:val="none"/>
        </w:rPr>
        <w:t>产品管理人决定延期兑付的，将至少提前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理财产品的清算</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产品费用</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计提方法、计提标准和支付方式</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投资管理费：本产品的投资管理费每日计提，按</w:t>
      </w:r>
      <w:r>
        <w:rPr>
          <w:rFonts w:hint="eastAsia" w:ascii="楷体" w:hAnsi="楷体" w:eastAsia="楷体"/>
          <w:sz w:val="24"/>
          <w:szCs w:val="24"/>
          <w:lang w:val="en-US" w:eastAsia="zh-CN"/>
        </w:rPr>
        <w:t>月</w:t>
      </w:r>
      <w:r>
        <w:rPr>
          <w:rFonts w:hint="eastAsia" w:ascii="楷体" w:hAnsi="楷体" w:eastAsia="楷体"/>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cs="Times New Roman"/>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超额业绩报酬：本产品设立业绩比较基准（产品管理人可根据市场情况等调整业绩比较基准，并至少于新的业绩比较基准启用日之前2个工作日进行公告），管理人按投资周期收取超额业绩报酬。</w:t>
      </w:r>
      <w:r>
        <w:rPr>
          <w:rFonts w:hint="eastAsia" w:ascii="楷体" w:hAnsi="楷体" w:eastAsia="楷体" w:cs="Times New Roman"/>
          <w:sz w:val="24"/>
          <w:szCs w:val="24"/>
        </w:rPr>
        <w:t>假设单一投资周期的各份额实际年化投资收益在扣除托管费、销售服务费、投资管理费以及运作产品所必须缴纳的税费后为R：</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若R&lt;业绩比较基准下限+（业绩比较基准上限-业绩比较基准下限）*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5%，管理人无超额业绩报酬；</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5%≤R&lt;业绩比较基准上限，管理人对超出【业绩比较基准下限+（业绩比较基准上限-业绩比较基准下限）*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5%】的部分收取40%的超额业绩报酬；</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若R≥业绩比较基准上限，管理人对【业绩比较基准下限+（业绩比较基准上限-业绩比较基准下限）*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5%】与业绩比较基准上限之间的部分，收取40%的超额业绩报酬；管理人对超出业绩比较基准上限的部分，收取60%的超额业绩报酬。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产品运作和清算中产生的交易手续费、注册登记费、账户服务费、审计费、及其他应由本产品承担的费用，按照实际发生时从产品中列支。</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本产品不收取认购费用、申购费用、赎回费用</w:t>
      </w:r>
      <w:r>
        <w:rPr>
          <w:rFonts w:hint="eastAsia" w:ascii="楷体" w:hAnsi="楷体" w:eastAsia="楷体" w:cs="Times New Roman"/>
          <w:sz w:val="24"/>
          <w:szCs w:val="24"/>
          <w:highlight w:val="none"/>
        </w:rPr>
        <w:t>。</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2"/>
        </w:numPr>
        <w:tabs>
          <w:tab w:val="left" w:pos="1414"/>
        </w:tabs>
        <w:ind w:firstLine="562" w:firstLineChars="200"/>
        <w:outlineLvl w:val="1"/>
        <w:rPr>
          <w:rFonts w:ascii="楷体" w:hAnsi="楷体" w:eastAsia="楷体"/>
          <w:b/>
          <w:sz w:val="28"/>
          <w:szCs w:val="28"/>
        </w:rPr>
      </w:pPr>
      <w:r>
        <w:rPr>
          <w:rFonts w:hint="eastAsia" w:ascii="楷体" w:hAnsi="楷体" w:eastAsia="楷体"/>
          <w:b/>
          <w:sz w:val="28"/>
          <w:szCs w:val="28"/>
        </w:rPr>
        <w:t>产品托管人</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托管人职责</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安全保管理财产品财产；</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为理财产品开立银行托管账户、证券账户等；</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确认与执行理财产品资金划拨指令，办理理财产品资金的收付，核对理财产品资金划拨记录；</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建立与理财产品管理人的对账机制，复核理财产品资产净值、理财产品份额申购、赎回价格，及时核查投资资金的支付和到账情况；</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监督理财产品投资运作；</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办理与理财产品托管业务活动相关的信息披露事项；</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保存理财产品托管业务活动的记录、账册、报表和其他相关材料；</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对理财产品投资信息和相关资料承担保密责任；</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国务院银行业监督管理机构规定的其他职责。</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信息披露</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信息披露内容</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产品类型、募集信息、产品净值、产品规模、托管安排、投资账户信息；</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产品投向、投资比例、持仓情况、杠杆水平以及主要投资风险；</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产品收益分配、各项费用情况；</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产品涉及关联交易；</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其他影响本产品投资运作的重大事项、临时性信息披露等。</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信息披露频率</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发行公告：管理人在产品成立后5个工作日内，披露产品成立公告，内容包括理财产品成立日期和募集规模等信息。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到期公告：管理人在产品终止后5个工作日内，披露产品到期公告，内容包括理财产品的存续期限、终止日期、收费情况和收益分配情况等信息。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重大事项公告：管理人在发生可能对理财产品投资者或者理财产品收益产生重大事项的事件后2个工作日内发布重大事项公告。</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净值披露：本产品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临时性信息披露：管理人将及时披露国务院银行业监督管理机构规定的其他信息或除重大事项事件以外的其他信息。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半年度整体报告：每半年披露从事理财业务活动的有关信息。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理财账单：管理人每月向投资者提供其所持有的理财产品账单，账单内容包括但不限于投资者持有的理财产品份额、认购金额、</w:t>
      </w:r>
      <w:r>
        <w:rPr>
          <w:rFonts w:hint="eastAsia" w:ascii="楷体" w:hAnsi="楷体" w:eastAsia="楷体"/>
          <w:sz w:val="24"/>
          <w:szCs w:val="24"/>
          <w:lang w:val="en-US" w:eastAsia="zh-CN"/>
        </w:rPr>
        <w:t>份额</w:t>
      </w:r>
      <w:r>
        <w:rPr>
          <w:rFonts w:hint="eastAsia" w:ascii="楷体" w:hAnsi="楷体" w:eastAsia="楷体"/>
          <w:sz w:val="24"/>
          <w:szCs w:val="24"/>
        </w:rPr>
        <w:t>单位净值、份额累计净值、资产净值、收益情况、投资者理财交易账户发生的交易明细记录等信息。</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苏银理财将信息披露内容发送销售机构，由销售机构通过</w:t>
      </w:r>
      <w:r>
        <w:rPr>
          <w:rFonts w:hint="eastAsia" w:ascii="楷体" w:hAnsi="楷体" w:eastAsia="楷体" w:cs="Calibri"/>
          <w:sz w:val="24"/>
          <w:szCs w:val="24"/>
          <w:highlight w:val="none"/>
          <w:lang w:val="en-US" w:eastAsia="zh-CN"/>
        </w:rPr>
        <w:t>短信及</w:t>
      </w:r>
      <w:r>
        <w:rPr>
          <w:rFonts w:hint="eastAsia" w:ascii="楷体" w:hAnsi="楷体" w:eastAsia="楷体" w:cs="Calibri"/>
          <w:sz w:val="24"/>
          <w:szCs w:val="24"/>
          <w:highlight w:val="none"/>
        </w:rPr>
        <w:t>销售机构电子渠道和营业网点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rPr>
        <w:t>相关信息在发布或发出之日视为通知已送达投资者并生效，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请投资者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其他</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highlight w:val="none"/>
          <w:lang w:eastAsia="zh-CN"/>
        </w:rPr>
        <w:t>接触</w:t>
      </w:r>
      <w:r>
        <w:rPr>
          <w:rFonts w:hint="eastAsia" w:ascii="楷体" w:hAnsi="楷体" w:eastAsia="楷体"/>
          <w:sz w:val="24"/>
          <w:szCs w:val="24"/>
          <w:highlight w:val="none"/>
        </w:rPr>
        <w:t>并按照苏银理财的业务要求以及“最少必须”原则使用投资人个人信息。苏银理财承诺将向有关第三方明确其保护投资人信息的职责并要求第三方承担相应的保密义务。</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rPr>
          <w:rFonts w:hint="eastAsia"/>
          <w:lang w:val="en-US" w:eastAsia="zh-CN"/>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1026B31"/>
    <w:multiLevelType w:val="multilevel"/>
    <w:tmpl w:val="01026B3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7"/>
  </w:num>
  <w:num w:numId="3">
    <w:abstractNumId w:val="13"/>
  </w:num>
  <w:num w:numId="4">
    <w:abstractNumId w:val="27"/>
  </w:num>
  <w:num w:numId="5">
    <w:abstractNumId w:val="22"/>
  </w:num>
  <w:num w:numId="6">
    <w:abstractNumId w:val="29"/>
  </w:num>
  <w:num w:numId="7">
    <w:abstractNumId w:val="8"/>
  </w:num>
  <w:num w:numId="8">
    <w:abstractNumId w:val="14"/>
  </w:num>
  <w:num w:numId="9">
    <w:abstractNumId w:val="0"/>
  </w:num>
  <w:num w:numId="10">
    <w:abstractNumId w:val="32"/>
  </w:num>
  <w:num w:numId="11">
    <w:abstractNumId w:val="23"/>
  </w:num>
  <w:num w:numId="12">
    <w:abstractNumId w:val="17"/>
  </w:num>
  <w:num w:numId="13">
    <w:abstractNumId w:val="9"/>
  </w:num>
  <w:num w:numId="14">
    <w:abstractNumId w:val="5"/>
  </w:num>
  <w:num w:numId="15">
    <w:abstractNumId w:val="10"/>
  </w:num>
  <w:num w:numId="16">
    <w:abstractNumId w:val="6"/>
  </w:num>
  <w:num w:numId="17">
    <w:abstractNumId w:val="1"/>
  </w:num>
  <w:num w:numId="18">
    <w:abstractNumId w:val="24"/>
  </w:num>
  <w:num w:numId="19">
    <w:abstractNumId w:val="21"/>
  </w:num>
  <w:num w:numId="20">
    <w:abstractNumId w:val="19"/>
  </w:num>
  <w:num w:numId="21">
    <w:abstractNumId w:val="4"/>
  </w:num>
  <w:num w:numId="22">
    <w:abstractNumId w:val="11"/>
  </w:num>
  <w:num w:numId="23">
    <w:abstractNumId w:val="28"/>
  </w:num>
  <w:num w:numId="24">
    <w:abstractNumId w:val="3"/>
  </w:num>
  <w:num w:numId="25">
    <w:abstractNumId w:val="30"/>
  </w:num>
  <w:num w:numId="26">
    <w:abstractNumId w:val="20"/>
  </w:num>
  <w:num w:numId="27">
    <w:abstractNumId w:val="18"/>
  </w:num>
  <w:num w:numId="28">
    <w:abstractNumId w:val="34"/>
  </w:num>
  <w:num w:numId="29">
    <w:abstractNumId w:val="26"/>
  </w:num>
  <w:num w:numId="30">
    <w:abstractNumId w:val="12"/>
  </w:num>
  <w:num w:numId="31">
    <w:abstractNumId w:val="33"/>
  </w:num>
  <w:num w:numId="32">
    <w:abstractNumId w:val="16"/>
  </w:num>
  <w:num w:numId="33">
    <w:abstractNumId w:val="31"/>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6F2"/>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3601"/>
    <w:rsid w:val="00054158"/>
    <w:rsid w:val="00054854"/>
    <w:rsid w:val="00054EC8"/>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776F9"/>
    <w:rsid w:val="00080568"/>
    <w:rsid w:val="00080C2C"/>
    <w:rsid w:val="00081AD6"/>
    <w:rsid w:val="000820E2"/>
    <w:rsid w:val="000853F6"/>
    <w:rsid w:val="000867A8"/>
    <w:rsid w:val="00087036"/>
    <w:rsid w:val="00087EDB"/>
    <w:rsid w:val="00091208"/>
    <w:rsid w:val="00091C44"/>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E7D1B"/>
    <w:rsid w:val="000F0433"/>
    <w:rsid w:val="000F19D4"/>
    <w:rsid w:val="000F1D3C"/>
    <w:rsid w:val="000F2BB5"/>
    <w:rsid w:val="000F3D5D"/>
    <w:rsid w:val="000F4243"/>
    <w:rsid w:val="000F4811"/>
    <w:rsid w:val="000F4ABF"/>
    <w:rsid w:val="000F510B"/>
    <w:rsid w:val="000F5B66"/>
    <w:rsid w:val="000F5FF6"/>
    <w:rsid w:val="000F65C5"/>
    <w:rsid w:val="000F6A6E"/>
    <w:rsid w:val="000F7056"/>
    <w:rsid w:val="000F7C89"/>
    <w:rsid w:val="000F7D2C"/>
    <w:rsid w:val="00100F0C"/>
    <w:rsid w:val="001025A3"/>
    <w:rsid w:val="00103497"/>
    <w:rsid w:val="00103605"/>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456D"/>
    <w:rsid w:val="00125B8C"/>
    <w:rsid w:val="0012647A"/>
    <w:rsid w:val="001266AB"/>
    <w:rsid w:val="00127044"/>
    <w:rsid w:val="001303B2"/>
    <w:rsid w:val="00130EED"/>
    <w:rsid w:val="00130F7B"/>
    <w:rsid w:val="00131F1B"/>
    <w:rsid w:val="0013364F"/>
    <w:rsid w:val="00133AAF"/>
    <w:rsid w:val="00133B98"/>
    <w:rsid w:val="0013472F"/>
    <w:rsid w:val="00134733"/>
    <w:rsid w:val="00134B7E"/>
    <w:rsid w:val="001359ED"/>
    <w:rsid w:val="0013719A"/>
    <w:rsid w:val="00140B25"/>
    <w:rsid w:val="0014427A"/>
    <w:rsid w:val="001450DF"/>
    <w:rsid w:val="0014734D"/>
    <w:rsid w:val="00151CC7"/>
    <w:rsid w:val="00151ED4"/>
    <w:rsid w:val="00152B36"/>
    <w:rsid w:val="001530B2"/>
    <w:rsid w:val="001542A4"/>
    <w:rsid w:val="001543E7"/>
    <w:rsid w:val="00154F7A"/>
    <w:rsid w:val="00155B77"/>
    <w:rsid w:val="00160508"/>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D40"/>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E6AD9"/>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278F"/>
    <w:rsid w:val="002239BC"/>
    <w:rsid w:val="0022633B"/>
    <w:rsid w:val="00226F9D"/>
    <w:rsid w:val="00227C4F"/>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5ECB"/>
    <w:rsid w:val="00256119"/>
    <w:rsid w:val="00256E57"/>
    <w:rsid w:val="0025744E"/>
    <w:rsid w:val="002579CC"/>
    <w:rsid w:val="0026261B"/>
    <w:rsid w:val="00263007"/>
    <w:rsid w:val="002644DA"/>
    <w:rsid w:val="0026641B"/>
    <w:rsid w:val="00266A6A"/>
    <w:rsid w:val="00266E3B"/>
    <w:rsid w:val="002672C8"/>
    <w:rsid w:val="00267465"/>
    <w:rsid w:val="00270665"/>
    <w:rsid w:val="0027128B"/>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9004F"/>
    <w:rsid w:val="00291B84"/>
    <w:rsid w:val="00292B19"/>
    <w:rsid w:val="00292B5E"/>
    <w:rsid w:val="002932FC"/>
    <w:rsid w:val="00294431"/>
    <w:rsid w:val="0029474A"/>
    <w:rsid w:val="00294B49"/>
    <w:rsid w:val="00295538"/>
    <w:rsid w:val="00296EB4"/>
    <w:rsid w:val="00297034"/>
    <w:rsid w:val="002A046A"/>
    <w:rsid w:val="002A13F4"/>
    <w:rsid w:val="002A23E0"/>
    <w:rsid w:val="002A2E20"/>
    <w:rsid w:val="002A2FFA"/>
    <w:rsid w:val="002A32DF"/>
    <w:rsid w:val="002A46D7"/>
    <w:rsid w:val="002A4EE3"/>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6143"/>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37C"/>
    <w:rsid w:val="003039FF"/>
    <w:rsid w:val="00304D18"/>
    <w:rsid w:val="00305A15"/>
    <w:rsid w:val="00305F8C"/>
    <w:rsid w:val="00306353"/>
    <w:rsid w:val="003067DF"/>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0A42"/>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211"/>
    <w:rsid w:val="00372402"/>
    <w:rsid w:val="003724FE"/>
    <w:rsid w:val="003726C4"/>
    <w:rsid w:val="003732C5"/>
    <w:rsid w:val="00374086"/>
    <w:rsid w:val="003749F9"/>
    <w:rsid w:val="00375BEB"/>
    <w:rsid w:val="00376D78"/>
    <w:rsid w:val="00377A25"/>
    <w:rsid w:val="00377B13"/>
    <w:rsid w:val="003800B4"/>
    <w:rsid w:val="003809E0"/>
    <w:rsid w:val="003814E2"/>
    <w:rsid w:val="00381E88"/>
    <w:rsid w:val="003821F9"/>
    <w:rsid w:val="00382548"/>
    <w:rsid w:val="003827CD"/>
    <w:rsid w:val="00383A99"/>
    <w:rsid w:val="00383D6D"/>
    <w:rsid w:val="003852EF"/>
    <w:rsid w:val="003870EE"/>
    <w:rsid w:val="00387A01"/>
    <w:rsid w:val="00387FA9"/>
    <w:rsid w:val="00390FF2"/>
    <w:rsid w:val="00393452"/>
    <w:rsid w:val="00393753"/>
    <w:rsid w:val="00394C2C"/>
    <w:rsid w:val="00395441"/>
    <w:rsid w:val="00396F85"/>
    <w:rsid w:val="0039723A"/>
    <w:rsid w:val="003A1CB9"/>
    <w:rsid w:val="003A254C"/>
    <w:rsid w:val="003A27B8"/>
    <w:rsid w:val="003A3D8C"/>
    <w:rsid w:val="003A539D"/>
    <w:rsid w:val="003A5FA1"/>
    <w:rsid w:val="003A6074"/>
    <w:rsid w:val="003A7623"/>
    <w:rsid w:val="003B1648"/>
    <w:rsid w:val="003B1725"/>
    <w:rsid w:val="003B242C"/>
    <w:rsid w:val="003B324C"/>
    <w:rsid w:val="003B43EE"/>
    <w:rsid w:val="003B4D64"/>
    <w:rsid w:val="003B531F"/>
    <w:rsid w:val="003B5DFB"/>
    <w:rsid w:val="003B6220"/>
    <w:rsid w:val="003B636C"/>
    <w:rsid w:val="003B6EEA"/>
    <w:rsid w:val="003B76DC"/>
    <w:rsid w:val="003C09CF"/>
    <w:rsid w:val="003C14E2"/>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162A"/>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CB2"/>
    <w:rsid w:val="004A5E88"/>
    <w:rsid w:val="004A65C0"/>
    <w:rsid w:val="004A6C11"/>
    <w:rsid w:val="004B1E66"/>
    <w:rsid w:val="004B3D0B"/>
    <w:rsid w:val="004B4001"/>
    <w:rsid w:val="004B44B5"/>
    <w:rsid w:val="004B48C5"/>
    <w:rsid w:val="004B4B39"/>
    <w:rsid w:val="004B6AEF"/>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6C41"/>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454E"/>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C8F"/>
    <w:rsid w:val="00555DCF"/>
    <w:rsid w:val="00555F85"/>
    <w:rsid w:val="00560551"/>
    <w:rsid w:val="00561FE9"/>
    <w:rsid w:val="00562804"/>
    <w:rsid w:val="00562DC7"/>
    <w:rsid w:val="00564093"/>
    <w:rsid w:val="00564F46"/>
    <w:rsid w:val="005659B2"/>
    <w:rsid w:val="00566CB6"/>
    <w:rsid w:val="00567AAC"/>
    <w:rsid w:val="00571F0A"/>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C9D"/>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081"/>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1F2"/>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53F"/>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69C3"/>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2243"/>
    <w:rsid w:val="007433D3"/>
    <w:rsid w:val="00743939"/>
    <w:rsid w:val="00743A86"/>
    <w:rsid w:val="00743F1B"/>
    <w:rsid w:val="0074430F"/>
    <w:rsid w:val="007448B9"/>
    <w:rsid w:val="007461C3"/>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6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510B"/>
    <w:rsid w:val="00796A9E"/>
    <w:rsid w:val="00796D05"/>
    <w:rsid w:val="00797687"/>
    <w:rsid w:val="007A0BE3"/>
    <w:rsid w:val="007A1ABD"/>
    <w:rsid w:val="007A25AF"/>
    <w:rsid w:val="007A302A"/>
    <w:rsid w:val="007A30A5"/>
    <w:rsid w:val="007A3335"/>
    <w:rsid w:val="007A462C"/>
    <w:rsid w:val="007A4C40"/>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036"/>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150"/>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2AA0"/>
    <w:rsid w:val="00893C62"/>
    <w:rsid w:val="0089626D"/>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0AD9"/>
    <w:rsid w:val="008B266F"/>
    <w:rsid w:val="008B3124"/>
    <w:rsid w:val="008B4D65"/>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06D"/>
    <w:rsid w:val="008F237A"/>
    <w:rsid w:val="008F2796"/>
    <w:rsid w:val="008F34D3"/>
    <w:rsid w:val="008F3BD8"/>
    <w:rsid w:val="008F603A"/>
    <w:rsid w:val="008F6A2F"/>
    <w:rsid w:val="008F6B5E"/>
    <w:rsid w:val="008F755E"/>
    <w:rsid w:val="008F79D0"/>
    <w:rsid w:val="009008B1"/>
    <w:rsid w:val="00902015"/>
    <w:rsid w:val="00903531"/>
    <w:rsid w:val="00904399"/>
    <w:rsid w:val="00904A65"/>
    <w:rsid w:val="00904E2E"/>
    <w:rsid w:val="00905728"/>
    <w:rsid w:val="00905793"/>
    <w:rsid w:val="00907263"/>
    <w:rsid w:val="009123F6"/>
    <w:rsid w:val="00913E2A"/>
    <w:rsid w:val="0091468D"/>
    <w:rsid w:val="0091475E"/>
    <w:rsid w:val="009163B6"/>
    <w:rsid w:val="00916B61"/>
    <w:rsid w:val="00916DC0"/>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1BF1"/>
    <w:rsid w:val="00932818"/>
    <w:rsid w:val="00933086"/>
    <w:rsid w:val="0093420A"/>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21C8"/>
    <w:rsid w:val="00973C9C"/>
    <w:rsid w:val="00974726"/>
    <w:rsid w:val="009752BD"/>
    <w:rsid w:val="009758CF"/>
    <w:rsid w:val="00975C56"/>
    <w:rsid w:val="00976D44"/>
    <w:rsid w:val="009835C4"/>
    <w:rsid w:val="0098672A"/>
    <w:rsid w:val="00986DB7"/>
    <w:rsid w:val="00987CDB"/>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81F"/>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6CA6"/>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46C"/>
    <w:rsid w:val="00A14857"/>
    <w:rsid w:val="00A14944"/>
    <w:rsid w:val="00A17F32"/>
    <w:rsid w:val="00A2017E"/>
    <w:rsid w:val="00A2337E"/>
    <w:rsid w:val="00A23EB7"/>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76E"/>
    <w:rsid w:val="00A71B13"/>
    <w:rsid w:val="00A72382"/>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847"/>
    <w:rsid w:val="00AA09CE"/>
    <w:rsid w:val="00AA0C04"/>
    <w:rsid w:val="00AA109A"/>
    <w:rsid w:val="00AA184D"/>
    <w:rsid w:val="00AA21D4"/>
    <w:rsid w:val="00AA3ADF"/>
    <w:rsid w:val="00AA4064"/>
    <w:rsid w:val="00AA41D9"/>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A3"/>
    <w:rsid w:val="00AF59DA"/>
    <w:rsid w:val="00AF64B3"/>
    <w:rsid w:val="00AF72B9"/>
    <w:rsid w:val="00B00021"/>
    <w:rsid w:val="00B01969"/>
    <w:rsid w:val="00B04BED"/>
    <w:rsid w:val="00B05204"/>
    <w:rsid w:val="00B10470"/>
    <w:rsid w:val="00B10AEC"/>
    <w:rsid w:val="00B12515"/>
    <w:rsid w:val="00B1367C"/>
    <w:rsid w:val="00B15453"/>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4F6D"/>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77467"/>
    <w:rsid w:val="00B803D6"/>
    <w:rsid w:val="00B83257"/>
    <w:rsid w:val="00B83A93"/>
    <w:rsid w:val="00B86B21"/>
    <w:rsid w:val="00B87871"/>
    <w:rsid w:val="00B903E3"/>
    <w:rsid w:val="00B911C2"/>
    <w:rsid w:val="00B91DF8"/>
    <w:rsid w:val="00B930D6"/>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705"/>
    <w:rsid w:val="00BC49C9"/>
    <w:rsid w:val="00BC5224"/>
    <w:rsid w:val="00BC6BAB"/>
    <w:rsid w:val="00BC6FDF"/>
    <w:rsid w:val="00BC7725"/>
    <w:rsid w:val="00BC7AE4"/>
    <w:rsid w:val="00BC7D79"/>
    <w:rsid w:val="00BC7D81"/>
    <w:rsid w:val="00BD02DD"/>
    <w:rsid w:val="00BD09E2"/>
    <w:rsid w:val="00BD1058"/>
    <w:rsid w:val="00BD2234"/>
    <w:rsid w:val="00BD38DF"/>
    <w:rsid w:val="00BD4A4B"/>
    <w:rsid w:val="00BD4C27"/>
    <w:rsid w:val="00BD626E"/>
    <w:rsid w:val="00BD6E92"/>
    <w:rsid w:val="00BD7209"/>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568"/>
    <w:rsid w:val="00BF27E9"/>
    <w:rsid w:val="00BF2D62"/>
    <w:rsid w:val="00BF4198"/>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37D20"/>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23F"/>
    <w:rsid w:val="00C9070B"/>
    <w:rsid w:val="00C92ABF"/>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37AD"/>
    <w:rsid w:val="00D04528"/>
    <w:rsid w:val="00D050BA"/>
    <w:rsid w:val="00D05E32"/>
    <w:rsid w:val="00D06FC6"/>
    <w:rsid w:val="00D106A3"/>
    <w:rsid w:val="00D115C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3E76"/>
    <w:rsid w:val="00DD4A1A"/>
    <w:rsid w:val="00DD4DCA"/>
    <w:rsid w:val="00DD5001"/>
    <w:rsid w:val="00DD5181"/>
    <w:rsid w:val="00DD5CCB"/>
    <w:rsid w:val="00DD6003"/>
    <w:rsid w:val="00DD668A"/>
    <w:rsid w:val="00DD7A51"/>
    <w:rsid w:val="00DD7B1D"/>
    <w:rsid w:val="00DE1A4C"/>
    <w:rsid w:val="00DE1EC5"/>
    <w:rsid w:val="00DE285A"/>
    <w:rsid w:val="00DE2F3F"/>
    <w:rsid w:val="00DE3AB1"/>
    <w:rsid w:val="00DE505B"/>
    <w:rsid w:val="00DE5417"/>
    <w:rsid w:val="00DE5630"/>
    <w:rsid w:val="00DE6237"/>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54C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2EC3"/>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3FE4"/>
    <w:rsid w:val="00EB5A57"/>
    <w:rsid w:val="00EB62A2"/>
    <w:rsid w:val="00EB64FC"/>
    <w:rsid w:val="00EB7B3E"/>
    <w:rsid w:val="00EC0FC7"/>
    <w:rsid w:val="00EC2254"/>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5FBE"/>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9CC"/>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07C31"/>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2AF"/>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42EC"/>
    <w:rsid w:val="00F77E87"/>
    <w:rsid w:val="00F806A9"/>
    <w:rsid w:val="00F81620"/>
    <w:rsid w:val="00F82107"/>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B83"/>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463589"/>
    <w:rsid w:val="0189652E"/>
    <w:rsid w:val="01941084"/>
    <w:rsid w:val="01AA3388"/>
    <w:rsid w:val="01BD44F5"/>
    <w:rsid w:val="01C8325C"/>
    <w:rsid w:val="021F0315"/>
    <w:rsid w:val="02437D0C"/>
    <w:rsid w:val="02A0029A"/>
    <w:rsid w:val="02A65A04"/>
    <w:rsid w:val="02AD767C"/>
    <w:rsid w:val="02B56B89"/>
    <w:rsid w:val="02BC0F12"/>
    <w:rsid w:val="02C0573C"/>
    <w:rsid w:val="02F96541"/>
    <w:rsid w:val="031E0EF1"/>
    <w:rsid w:val="037662C0"/>
    <w:rsid w:val="038331EE"/>
    <w:rsid w:val="03944EF2"/>
    <w:rsid w:val="039759E9"/>
    <w:rsid w:val="039E0B4E"/>
    <w:rsid w:val="04045543"/>
    <w:rsid w:val="043B5124"/>
    <w:rsid w:val="044F5401"/>
    <w:rsid w:val="047247F0"/>
    <w:rsid w:val="04825F32"/>
    <w:rsid w:val="048B3EF4"/>
    <w:rsid w:val="048C3744"/>
    <w:rsid w:val="04AD4C6B"/>
    <w:rsid w:val="04AD6172"/>
    <w:rsid w:val="04B72DAB"/>
    <w:rsid w:val="04BA6991"/>
    <w:rsid w:val="04DC5621"/>
    <w:rsid w:val="050505BC"/>
    <w:rsid w:val="051E5CB0"/>
    <w:rsid w:val="052F4F45"/>
    <w:rsid w:val="05437561"/>
    <w:rsid w:val="05A23CCF"/>
    <w:rsid w:val="05AA1E2F"/>
    <w:rsid w:val="05C24554"/>
    <w:rsid w:val="05E565EA"/>
    <w:rsid w:val="05FD7F7C"/>
    <w:rsid w:val="061606D5"/>
    <w:rsid w:val="061A2F20"/>
    <w:rsid w:val="0637609B"/>
    <w:rsid w:val="06586066"/>
    <w:rsid w:val="06703655"/>
    <w:rsid w:val="06B46E82"/>
    <w:rsid w:val="06CA5375"/>
    <w:rsid w:val="06D46993"/>
    <w:rsid w:val="07037E22"/>
    <w:rsid w:val="07061666"/>
    <w:rsid w:val="07264310"/>
    <w:rsid w:val="07277C07"/>
    <w:rsid w:val="07294742"/>
    <w:rsid w:val="07731EDA"/>
    <w:rsid w:val="078F6E8D"/>
    <w:rsid w:val="07CF0415"/>
    <w:rsid w:val="08166EC7"/>
    <w:rsid w:val="081C35B0"/>
    <w:rsid w:val="083A0B73"/>
    <w:rsid w:val="083C4697"/>
    <w:rsid w:val="083F3EDE"/>
    <w:rsid w:val="084B6744"/>
    <w:rsid w:val="087361FB"/>
    <w:rsid w:val="0886299C"/>
    <w:rsid w:val="08B41D28"/>
    <w:rsid w:val="08CF5889"/>
    <w:rsid w:val="08F80683"/>
    <w:rsid w:val="09122690"/>
    <w:rsid w:val="091A53AA"/>
    <w:rsid w:val="0947509F"/>
    <w:rsid w:val="09534C3D"/>
    <w:rsid w:val="09576019"/>
    <w:rsid w:val="099958A0"/>
    <w:rsid w:val="09A709F0"/>
    <w:rsid w:val="09B853C9"/>
    <w:rsid w:val="09C4327A"/>
    <w:rsid w:val="09DE7294"/>
    <w:rsid w:val="09E06B2B"/>
    <w:rsid w:val="0A173570"/>
    <w:rsid w:val="0A7940DE"/>
    <w:rsid w:val="0AD94DA9"/>
    <w:rsid w:val="0ADD44AA"/>
    <w:rsid w:val="0AF001C8"/>
    <w:rsid w:val="0B47433B"/>
    <w:rsid w:val="0B707790"/>
    <w:rsid w:val="0B721E65"/>
    <w:rsid w:val="0B916D6A"/>
    <w:rsid w:val="0B9D714B"/>
    <w:rsid w:val="0BAE0C81"/>
    <w:rsid w:val="0BCF2C69"/>
    <w:rsid w:val="0C103112"/>
    <w:rsid w:val="0C185298"/>
    <w:rsid w:val="0C45445B"/>
    <w:rsid w:val="0C5E5425"/>
    <w:rsid w:val="0C67544E"/>
    <w:rsid w:val="0C944AE0"/>
    <w:rsid w:val="0C973E26"/>
    <w:rsid w:val="0C9A0483"/>
    <w:rsid w:val="0CEE6F06"/>
    <w:rsid w:val="0CF97467"/>
    <w:rsid w:val="0D607017"/>
    <w:rsid w:val="0D8C4EB4"/>
    <w:rsid w:val="0DAB3C0B"/>
    <w:rsid w:val="0DAF4280"/>
    <w:rsid w:val="0DCF2703"/>
    <w:rsid w:val="0E1B645B"/>
    <w:rsid w:val="0E2603FA"/>
    <w:rsid w:val="0E9A0543"/>
    <w:rsid w:val="0E9C6088"/>
    <w:rsid w:val="0EA17082"/>
    <w:rsid w:val="0EB865DF"/>
    <w:rsid w:val="0ED05BAC"/>
    <w:rsid w:val="0EE14842"/>
    <w:rsid w:val="0EED27A2"/>
    <w:rsid w:val="0F3154A0"/>
    <w:rsid w:val="0F431724"/>
    <w:rsid w:val="0F491F0B"/>
    <w:rsid w:val="0F654FB0"/>
    <w:rsid w:val="0F746040"/>
    <w:rsid w:val="0F754D51"/>
    <w:rsid w:val="0F987405"/>
    <w:rsid w:val="0FA33859"/>
    <w:rsid w:val="0FA43D13"/>
    <w:rsid w:val="0FAE4789"/>
    <w:rsid w:val="0FBE096B"/>
    <w:rsid w:val="0FCD07E3"/>
    <w:rsid w:val="0FFF3649"/>
    <w:rsid w:val="10077588"/>
    <w:rsid w:val="100F298C"/>
    <w:rsid w:val="10850337"/>
    <w:rsid w:val="1086640A"/>
    <w:rsid w:val="108C1C3A"/>
    <w:rsid w:val="108E1095"/>
    <w:rsid w:val="10990863"/>
    <w:rsid w:val="109B7D77"/>
    <w:rsid w:val="10D2433A"/>
    <w:rsid w:val="10E55ACF"/>
    <w:rsid w:val="114A0C0C"/>
    <w:rsid w:val="114E1E51"/>
    <w:rsid w:val="11601B9E"/>
    <w:rsid w:val="116612F4"/>
    <w:rsid w:val="118C278E"/>
    <w:rsid w:val="11901742"/>
    <w:rsid w:val="11B51DFD"/>
    <w:rsid w:val="11BE04F3"/>
    <w:rsid w:val="11D04006"/>
    <w:rsid w:val="11D965ED"/>
    <w:rsid w:val="11EC350B"/>
    <w:rsid w:val="129E4936"/>
    <w:rsid w:val="12B9415A"/>
    <w:rsid w:val="12F90576"/>
    <w:rsid w:val="135E7F47"/>
    <w:rsid w:val="136369E3"/>
    <w:rsid w:val="13657B38"/>
    <w:rsid w:val="136D1AC7"/>
    <w:rsid w:val="13A4655C"/>
    <w:rsid w:val="13EB4DC2"/>
    <w:rsid w:val="14921F27"/>
    <w:rsid w:val="149D5E5C"/>
    <w:rsid w:val="149E4339"/>
    <w:rsid w:val="14C32636"/>
    <w:rsid w:val="14CD5364"/>
    <w:rsid w:val="1538519D"/>
    <w:rsid w:val="15630760"/>
    <w:rsid w:val="15817B5F"/>
    <w:rsid w:val="158E7E44"/>
    <w:rsid w:val="159508DF"/>
    <w:rsid w:val="15B824AE"/>
    <w:rsid w:val="15CF287D"/>
    <w:rsid w:val="15CF685F"/>
    <w:rsid w:val="15DF4C1A"/>
    <w:rsid w:val="15EE2D8B"/>
    <w:rsid w:val="16717C60"/>
    <w:rsid w:val="16B1769F"/>
    <w:rsid w:val="16C12DFE"/>
    <w:rsid w:val="16D34A53"/>
    <w:rsid w:val="16D5416C"/>
    <w:rsid w:val="17372127"/>
    <w:rsid w:val="17570594"/>
    <w:rsid w:val="175F5C40"/>
    <w:rsid w:val="177F5218"/>
    <w:rsid w:val="178C370E"/>
    <w:rsid w:val="17A115B9"/>
    <w:rsid w:val="17BA313B"/>
    <w:rsid w:val="17C735C9"/>
    <w:rsid w:val="17DD217F"/>
    <w:rsid w:val="18485B9A"/>
    <w:rsid w:val="18887BCD"/>
    <w:rsid w:val="18B275C6"/>
    <w:rsid w:val="18CB2B68"/>
    <w:rsid w:val="18CC4EE4"/>
    <w:rsid w:val="19270461"/>
    <w:rsid w:val="192B2CC4"/>
    <w:rsid w:val="193E23D2"/>
    <w:rsid w:val="19552750"/>
    <w:rsid w:val="195F39CC"/>
    <w:rsid w:val="19866070"/>
    <w:rsid w:val="198714D0"/>
    <w:rsid w:val="19A03892"/>
    <w:rsid w:val="19D267B4"/>
    <w:rsid w:val="19E24EB0"/>
    <w:rsid w:val="19F76CF3"/>
    <w:rsid w:val="1A5E0991"/>
    <w:rsid w:val="1AAF1FBF"/>
    <w:rsid w:val="1AE87C38"/>
    <w:rsid w:val="1B081AAC"/>
    <w:rsid w:val="1B1644A1"/>
    <w:rsid w:val="1B432DC7"/>
    <w:rsid w:val="1B5015DA"/>
    <w:rsid w:val="1B60003E"/>
    <w:rsid w:val="1B6B01EB"/>
    <w:rsid w:val="1B7D4BD2"/>
    <w:rsid w:val="1BF50FD3"/>
    <w:rsid w:val="1C044D65"/>
    <w:rsid w:val="1C3F77F6"/>
    <w:rsid w:val="1C5448EC"/>
    <w:rsid w:val="1C853B67"/>
    <w:rsid w:val="1CE66A75"/>
    <w:rsid w:val="1D066662"/>
    <w:rsid w:val="1DAC7E70"/>
    <w:rsid w:val="1DAF5863"/>
    <w:rsid w:val="1DDC7E69"/>
    <w:rsid w:val="1DEB481D"/>
    <w:rsid w:val="1DFD7864"/>
    <w:rsid w:val="1E0820A4"/>
    <w:rsid w:val="1E6F3314"/>
    <w:rsid w:val="1EAE1EFC"/>
    <w:rsid w:val="1ECE785D"/>
    <w:rsid w:val="1F1C0115"/>
    <w:rsid w:val="1F4910F1"/>
    <w:rsid w:val="1F5E32BF"/>
    <w:rsid w:val="1F960075"/>
    <w:rsid w:val="1FE1451E"/>
    <w:rsid w:val="1FF07889"/>
    <w:rsid w:val="1FFC1C70"/>
    <w:rsid w:val="205D63FB"/>
    <w:rsid w:val="20715E11"/>
    <w:rsid w:val="208C27F0"/>
    <w:rsid w:val="20B92DC1"/>
    <w:rsid w:val="20C66E16"/>
    <w:rsid w:val="20D9340A"/>
    <w:rsid w:val="20E93259"/>
    <w:rsid w:val="21065F9A"/>
    <w:rsid w:val="211C3761"/>
    <w:rsid w:val="21550B1F"/>
    <w:rsid w:val="217C6C3A"/>
    <w:rsid w:val="21830708"/>
    <w:rsid w:val="218B4791"/>
    <w:rsid w:val="21965E5F"/>
    <w:rsid w:val="21994ACB"/>
    <w:rsid w:val="21BD6F61"/>
    <w:rsid w:val="21CC2A81"/>
    <w:rsid w:val="21D76BFA"/>
    <w:rsid w:val="224E1196"/>
    <w:rsid w:val="225459BF"/>
    <w:rsid w:val="22626E35"/>
    <w:rsid w:val="22734564"/>
    <w:rsid w:val="227A2C20"/>
    <w:rsid w:val="22840A30"/>
    <w:rsid w:val="22957DC6"/>
    <w:rsid w:val="23026BDF"/>
    <w:rsid w:val="231E24DA"/>
    <w:rsid w:val="23305C26"/>
    <w:rsid w:val="235B6EB4"/>
    <w:rsid w:val="239D3550"/>
    <w:rsid w:val="239F1C36"/>
    <w:rsid w:val="23D6544A"/>
    <w:rsid w:val="23DE761C"/>
    <w:rsid w:val="23F5276C"/>
    <w:rsid w:val="24253F78"/>
    <w:rsid w:val="242E4AC5"/>
    <w:rsid w:val="245276BF"/>
    <w:rsid w:val="247058DA"/>
    <w:rsid w:val="247E1C04"/>
    <w:rsid w:val="248756C9"/>
    <w:rsid w:val="24AE36B3"/>
    <w:rsid w:val="24C71EE9"/>
    <w:rsid w:val="24D63B89"/>
    <w:rsid w:val="24F75F56"/>
    <w:rsid w:val="2527511E"/>
    <w:rsid w:val="25290E59"/>
    <w:rsid w:val="254E752B"/>
    <w:rsid w:val="25736534"/>
    <w:rsid w:val="259C5174"/>
    <w:rsid w:val="25AB0BC2"/>
    <w:rsid w:val="25B32DCA"/>
    <w:rsid w:val="25E669E3"/>
    <w:rsid w:val="25FB49C4"/>
    <w:rsid w:val="2612291C"/>
    <w:rsid w:val="261351E4"/>
    <w:rsid w:val="26930344"/>
    <w:rsid w:val="26C80235"/>
    <w:rsid w:val="26C95767"/>
    <w:rsid w:val="26CF0968"/>
    <w:rsid w:val="26D75FF3"/>
    <w:rsid w:val="26DF3E05"/>
    <w:rsid w:val="27065738"/>
    <w:rsid w:val="271D37C5"/>
    <w:rsid w:val="277B5DB0"/>
    <w:rsid w:val="27C17BB1"/>
    <w:rsid w:val="27C31A8F"/>
    <w:rsid w:val="27FE7441"/>
    <w:rsid w:val="282213C7"/>
    <w:rsid w:val="284635B8"/>
    <w:rsid w:val="284D27E8"/>
    <w:rsid w:val="28544CF4"/>
    <w:rsid w:val="289419A8"/>
    <w:rsid w:val="28A904E4"/>
    <w:rsid w:val="28B36E23"/>
    <w:rsid w:val="28D53B5D"/>
    <w:rsid w:val="28E24AD8"/>
    <w:rsid w:val="28EC7658"/>
    <w:rsid w:val="29163A09"/>
    <w:rsid w:val="29374942"/>
    <w:rsid w:val="294D3CE5"/>
    <w:rsid w:val="296034C4"/>
    <w:rsid w:val="2966392B"/>
    <w:rsid w:val="29856946"/>
    <w:rsid w:val="29C45E39"/>
    <w:rsid w:val="2A254610"/>
    <w:rsid w:val="2A3B3339"/>
    <w:rsid w:val="2A630AC9"/>
    <w:rsid w:val="2A6956F3"/>
    <w:rsid w:val="2A8E286C"/>
    <w:rsid w:val="2A92281F"/>
    <w:rsid w:val="2B1D0B42"/>
    <w:rsid w:val="2B992916"/>
    <w:rsid w:val="2BC236FD"/>
    <w:rsid w:val="2BD06B14"/>
    <w:rsid w:val="2BE45C5A"/>
    <w:rsid w:val="2BED3FE5"/>
    <w:rsid w:val="2C0F4465"/>
    <w:rsid w:val="2C282037"/>
    <w:rsid w:val="2C565E20"/>
    <w:rsid w:val="2C8E54B7"/>
    <w:rsid w:val="2C9F7A9F"/>
    <w:rsid w:val="2CA03B11"/>
    <w:rsid w:val="2CA704E8"/>
    <w:rsid w:val="2CCB73C5"/>
    <w:rsid w:val="2D0D46EE"/>
    <w:rsid w:val="2D100634"/>
    <w:rsid w:val="2D2C1113"/>
    <w:rsid w:val="2D315D56"/>
    <w:rsid w:val="2D334B54"/>
    <w:rsid w:val="2D5937A2"/>
    <w:rsid w:val="2D801BBD"/>
    <w:rsid w:val="2DB23EAD"/>
    <w:rsid w:val="2DF11E3C"/>
    <w:rsid w:val="2E411057"/>
    <w:rsid w:val="2E771812"/>
    <w:rsid w:val="2E995E2C"/>
    <w:rsid w:val="2ECC33FC"/>
    <w:rsid w:val="2EEF4F93"/>
    <w:rsid w:val="2EF847F3"/>
    <w:rsid w:val="2EF87391"/>
    <w:rsid w:val="2F14646A"/>
    <w:rsid w:val="2F2F0392"/>
    <w:rsid w:val="2F5A33C9"/>
    <w:rsid w:val="2F623F10"/>
    <w:rsid w:val="2F9828BE"/>
    <w:rsid w:val="2FA26A35"/>
    <w:rsid w:val="300C0A9F"/>
    <w:rsid w:val="30293DD9"/>
    <w:rsid w:val="30294569"/>
    <w:rsid w:val="306A0347"/>
    <w:rsid w:val="307C7CFB"/>
    <w:rsid w:val="30AE6D78"/>
    <w:rsid w:val="30EC1F03"/>
    <w:rsid w:val="30EE1123"/>
    <w:rsid w:val="30F03DE3"/>
    <w:rsid w:val="313A5F04"/>
    <w:rsid w:val="31550423"/>
    <w:rsid w:val="31955CCD"/>
    <w:rsid w:val="31991295"/>
    <w:rsid w:val="31A326AD"/>
    <w:rsid w:val="31C33672"/>
    <w:rsid w:val="31C36C9B"/>
    <w:rsid w:val="31D71D58"/>
    <w:rsid w:val="31DD2EED"/>
    <w:rsid w:val="31E12CCA"/>
    <w:rsid w:val="320C6DBE"/>
    <w:rsid w:val="32106897"/>
    <w:rsid w:val="325357B0"/>
    <w:rsid w:val="325722E0"/>
    <w:rsid w:val="32BD2B00"/>
    <w:rsid w:val="32E06116"/>
    <w:rsid w:val="32E13316"/>
    <w:rsid w:val="3301632F"/>
    <w:rsid w:val="3302137C"/>
    <w:rsid w:val="33071848"/>
    <w:rsid w:val="332B28ED"/>
    <w:rsid w:val="336B039B"/>
    <w:rsid w:val="33944FB7"/>
    <w:rsid w:val="33A57B02"/>
    <w:rsid w:val="33CA2E88"/>
    <w:rsid w:val="33E90DB9"/>
    <w:rsid w:val="340121F5"/>
    <w:rsid w:val="340D75AE"/>
    <w:rsid w:val="34554B1A"/>
    <w:rsid w:val="34624022"/>
    <w:rsid w:val="347B54B1"/>
    <w:rsid w:val="347E5E21"/>
    <w:rsid w:val="349204AB"/>
    <w:rsid w:val="34A623E5"/>
    <w:rsid w:val="34CE03A5"/>
    <w:rsid w:val="34D05355"/>
    <w:rsid w:val="34DE5757"/>
    <w:rsid w:val="34E06695"/>
    <w:rsid w:val="34EE59FB"/>
    <w:rsid w:val="34F33587"/>
    <w:rsid w:val="351C08D6"/>
    <w:rsid w:val="353B7940"/>
    <w:rsid w:val="35654C9D"/>
    <w:rsid w:val="35AA0E18"/>
    <w:rsid w:val="35AF3D1E"/>
    <w:rsid w:val="35BE79AB"/>
    <w:rsid w:val="36055C6F"/>
    <w:rsid w:val="360B2D83"/>
    <w:rsid w:val="361B3D43"/>
    <w:rsid w:val="362A21C7"/>
    <w:rsid w:val="362A7306"/>
    <w:rsid w:val="36433849"/>
    <w:rsid w:val="365D339C"/>
    <w:rsid w:val="36805B26"/>
    <w:rsid w:val="368A2ACE"/>
    <w:rsid w:val="36B50F52"/>
    <w:rsid w:val="36C6076B"/>
    <w:rsid w:val="36C97E46"/>
    <w:rsid w:val="370E636B"/>
    <w:rsid w:val="37220098"/>
    <w:rsid w:val="376D550C"/>
    <w:rsid w:val="37830E5C"/>
    <w:rsid w:val="37C91F43"/>
    <w:rsid w:val="37F44956"/>
    <w:rsid w:val="380A32C1"/>
    <w:rsid w:val="382658FC"/>
    <w:rsid w:val="38405B2E"/>
    <w:rsid w:val="3844402B"/>
    <w:rsid w:val="38444280"/>
    <w:rsid w:val="38563E9E"/>
    <w:rsid w:val="386065C9"/>
    <w:rsid w:val="38DA1810"/>
    <w:rsid w:val="38E22BD3"/>
    <w:rsid w:val="38F537D9"/>
    <w:rsid w:val="38FD29F8"/>
    <w:rsid w:val="39120B3D"/>
    <w:rsid w:val="391C197A"/>
    <w:rsid w:val="39236D04"/>
    <w:rsid w:val="39453283"/>
    <w:rsid w:val="39520BBE"/>
    <w:rsid w:val="39B34E69"/>
    <w:rsid w:val="3A0450A3"/>
    <w:rsid w:val="3A4849FC"/>
    <w:rsid w:val="3A5F6372"/>
    <w:rsid w:val="3A7007EE"/>
    <w:rsid w:val="3A7D5C19"/>
    <w:rsid w:val="3A9116C3"/>
    <w:rsid w:val="3A944955"/>
    <w:rsid w:val="3ACA38F1"/>
    <w:rsid w:val="3AD90077"/>
    <w:rsid w:val="3B0A455B"/>
    <w:rsid w:val="3B7E5E5A"/>
    <w:rsid w:val="3B9519DF"/>
    <w:rsid w:val="3BB730EC"/>
    <w:rsid w:val="3BD777F0"/>
    <w:rsid w:val="3BE57419"/>
    <w:rsid w:val="3BEC37EC"/>
    <w:rsid w:val="3BED503B"/>
    <w:rsid w:val="3C213D1A"/>
    <w:rsid w:val="3C350E86"/>
    <w:rsid w:val="3C563F5E"/>
    <w:rsid w:val="3C63747C"/>
    <w:rsid w:val="3C810AAF"/>
    <w:rsid w:val="3CB22CB3"/>
    <w:rsid w:val="3CB25A79"/>
    <w:rsid w:val="3CC47E43"/>
    <w:rsid w:val="3D153712"/>
    <w:rsid w:val="3D205CE9"/>
    <w:rsid w:val="3D2560BE"/>
    <w:rsid w:val="3D3654E2"/>
    <w:rsid w:val="3D5F70CE"/>
    <w:rsid w:val="3D814F8F"/>
    <w:rsid w:val="3D854DB6"/>
    <w:rsid w:val="3DCE0E0E"/>
    <w:rsid w:val="3DDD5D91"/>
    <w:rsid w:val="3DE45D7C"/>
    <w:rsid w:val="3DFF627C"/>
    <w:rsid w:val="3E060330"/>
    <w:rsid w:val="3E240F83"/>
    <w:rsid w:val="3E2D678E"/>
    <w:rsid w:val="3E335F6C"/>
    <w:rsid w:val="3E363543"/>
    <w:rsid w:val="3E5A73F5"/>
    <w:rsid w:val="3EBB2E89"/>
    <w:rsid w:val="3EBD2EFD"/>
    <w:rsid w:val="3ED234C6"/>
    <w:rsid w:val="3EE10B0A"/>
    <w:rsid w:val="3F037627"/>
    <w:rsid w:val="3F252E1E"/>
    <w:rsid w:val="3F407D22"/>
    <w:rsid w:val="3F5A0BF4"/>
    <w:rsid w:val="3F8D7CAC"/>
    <w:rsid w:val="3FBE4A8F"/>
    <w:rsid w:val="3FDB054C"/>
    <w:rsid w:val="3FDD0FD4"/>
    <w:rsid w:val="3FFD49EC"/>
    <w:rsid w:val="40050A9D"/>
    <w:rsid w:val="40093FFF"/>
    <w:rsid w:val="400E5B29"/>
    <w:rsid w:val="404F2A44"/>
    <w:rsid w:val="404F39B8"/>
    <w:rsid w:val="406A7FA5"/>
    <w:rsid w:val="407A4294"/>
    <w:rsid w:val="4085012A"/>
    <w:rsid w:val="40CE75B7"/>
    <w:rsid w:val="40E440DD"/>
    <w:rsid w:val="412F6022"/>
    <w:rsid w:val="413D276F"/>
    <w:rsid w:val="41401B50"/>
    <w:rsid w:val="41482267"/>
    <w:rsid w:val="414B52F2"/>
    <w:rsid w:val="41721401"/>
    <w:rsid w:val="41E76481"/>
    <w:rsid w:val="420C0383"/>
    <w:rsid w:val="421E39DE"/>
    <w:rsid w:val="42416FEC"/>
    <w:rsid w:val="42912640"/>
    <w:rsid w:val="42AF1545"/>
    <w:rsid w:val="42B51F17"/>
    <w:rsid w:val="42B80334"/>
    <w:rsid w:val="430C2FED"/>
    <w:rsid w:val="43293D30"/>
    <w:rsid w:val="433F14E9"/>
    <w:rsid w:val="43671974"/>
    <w:rsid w:val="437B1948"/>
    <w:rsid w:val="4389418F"/>
    <w:rsid w:val="43AC2D2C"/>
    <w:rsid w:val="43BF487F"/>
    <w:rsid w:val="43E875DF"/>
    <w:rsid w:val="43F12901"/>
    <w:rsid w:val="43F55327"/>
    <w:rsid w:val="440E073A"/>
    <w:rsid w:val="441E0867"/>
    <w:rsid w:val="44317713"/>
    <w:rsid w:val="44383A9C"/>
    <w:rsid w:val="444013FB"/>
    <w:rsid w:val="44576E56"/>
    <w:rsid w:val="44A735ED"/>
    <w:rsid w:val="44C878DF"/>
    <w:rsid w:val="44DF4FDA"/>
    <w:rsid w:val="44FA72D5"/>
    <w:rsid w:val="458D4AC2"/>
    <w:rsid w:val="45D31532"/>
    <w:rsid w:val="462F4507"/>
    <w:rsid w:val="46491A3D"/>
    <w:rsid w:val="465E26CD"/>
    <w:rsid w:val="468A334A"/>
    <w:rsid w:val="46926F78"/>
    <w:rsid w:val="469411E8"/>
    <w:rsid w:val="46996AFD"/>
    <w:rsid w:val="46C70FE2"/>
    <w:rsid w:val="46E16124"/>
    <w:rsid w:val="472F391B"/>
    <w:rsid w:val="474E1C9F"/>
    <w:rsid w:val="47525EA8"/>
    <w:rsid w:val="475B335F"/>
    <w:rsid w:val="47665A62"/>
    <w:rsid w:val="47721D11"/>
    <w:rsid w:val="47AF7F0C"/>
    <w:rsid w:val="47DF749A"/>
    <w:rsid w:val="4844142F"/>
    <w:rsid w:val="48691C03"/>
    <w:rsid w:val="48A30F50"/>
    <w:rsid w:val="48CD2C1D"/>
    <w:rsid w:val="48DA7951"/>
    <w:rsid w:val="492C007A"/>
    <w:rsid w:val="49583C22"/>
    <w:rsid w:val="49637829"/>
    <w:rsid w:val="49860B77"/>
    <w:rsid w:val="49AC22D5"/>
    <w:rsid w:val="49CF168F"/>
    <w:rsid w:val="4A120FE1"/>
    <w:rsid w:val="4A2C4ED1"/>
    <w:rsid w:val="4A3944EC"/>
    <w:rsid w:val="4A422BB4"/>
    <w:rsid w:val="4A5962E1"/>
    <w:rsid w:val="4A8357F4"/>
    <w:rsid w:val="4A9D0981"/>
    <w:rsid w:val="4AF27984"/>
    <w:rsid w:val="4B0E6C31"/>
    <w:rsid w:val="4B281141"/>
    <w:rsid w:val="4B3B403E"/>
    <w:rsid w:val="4B4F3218"/>
    <w:rsid w:val="4B51370B"/>
    <w:rsid w:val="4B960AD3"/>
    <w:rsid w:val="4BA969BD"/>
    <w:rsid w:val="4BC87169"/>
    <w:rsid w:val="4C0E5BAD"/>
    <w:rsid w:val="4C407B1D"/>
    <w:rsid w:val="4C6843B9"/>
    <w:rsid w:val="4C787F28"/>
    <w:rsid w:val="4C897206"/>
    <w:rsid w:val="4CAC15F2"/>
    <w:rsid w:val="4CAF07ED"/>
    <w:rsid w:val="4CDE2581"/>
    <w:rsid w:val="4CF12639"/>
    <w:rsid w:val="4CF519CA"/>
    <w:rsid w:val="4D1363DA"/>
    <w:rsid w:val="4D3814B0"/>
    <w:rsid w:val="4D446AB0"/>
    <w:rsid w:val="4D9419E9"/>
    <w:rsid w:val="4D94632D"/>
    <w:rsid w:val="4D956F2D"/>
    <w:rsid w:val="4DB74AE6"/>
    <w:rsid w:val="4DB908E0"/>
    <w:rsid w:val="4DFC5EC7"/>
    <w:rsid w:val="4E1757A7"/>
    <w:rsid w:val="4E245191"/>
    <w:rsid w:val="4E37077B"/>
    <w:rsid w:val="4E441AD1"/>
    <w:rsid w:val="4E4F1FF1"/>
    <w:rsid w:val="4E5E7CB1"/>
    <w:rsid w:val="4E914F36"/>
    <w:rsid w:val="4E96120B"/>
    <w:rsid w:val="4E9B4882"/>
    <w:rsid w:val="4E9D1CC1"/>
    <w:rsid w:val="4EA418D7"/>
    <w:rsid w:val="4EB23DF4"/>
    <w:rsid w:val="4EDD7815"/>
    <w:rsid w:val="4EDF0658"/>
    <w:rsid w:val="4F083DDD"/>
    <w:rsid w:val="4F1E101B"/>
    <w:rsid w:val="4F8A1494"/>
    <w:rsid w:val="4FA30B47"/>
    <w:rsid w:val="4FAF3057"/>
    <w:rsid w:val="50062B08"/>
    <w:rsid w:val="500E49D5"/>
    <w:rsid w:val="502E27B1"/>
    <w:rsid w:val="50367D95"/>
    <w:rsid w:val="504B417D"/>
    <w:rsid w:val="50744F9F"/>
    <w:rsid w:val="50793F4C"/>
    <w:rsid w:val="50975EFF"/>
    <w:rsid w:val="50AA7FF2"/>
    <w:rsid w:val="50C17A82"/>
    <w:rsid w:val="50D868AD"/>
    <w:rsid w:val="50F03938"/>
    <w:rsid w:val="50F86A30"/>
    <w:rsid w:val="511F22D1"/>
    <w:rsid w:val="5128779C"/>
    <w:rsid w:val="51470759"/>
    <w:rsid w:val="51603484"/>
    <w:rsid w:val="517D0D85"/>
    <w:rsid w:val="518566CD"/>
    <w:rsid w:val="51FA6226"/>
    <w:rsid w:val="52042A30"/>
    <w:rsid w:val="52244276"/>
    <w:rsid w:val="52481BB7"/>
    <w:rsid w:val="5271353A"/>
    <w:rsid w:val="52756E32"/>
    <w:rsid w:val="52B249E1"/>
    <w:rsid w:val="53397575"/>
    <w:rsid w:val="533B68D4"/>
    <w:rsid w:val="536D40F6"/>
    <w:rsid w:val="53A62B5F"/>
    <w:rsid w:val="53A97A53"/>
    <w:rsid w:val="53B66243"/>
    <w:rsid w:val="53C749F1"/>
    <w:rsid w:val="53CF76BD"/>
    <w:rsid w:val="53D41221"/>
    <w:rsid w:val="53E64A5C"/>
    <w:rsid w:val="53F520EF"/>
    <w:rsid w:val="53F9098C"/>
    <w:rsid w:val="53FA26A5"/>
    <w:rsid w:val="53FC0CC1"/>
    <w:rsid w:val="541933E7"/>
    <w:rsid w:val="54235856"/>
    <w:rsid w:val="5448720F"/>
    <w:rsid w:val="5466792E"/>
    <w:rsid w:val="547A1BBE"/>
    <w:rsid w:val="54946966"/>
    <w:rsid w:val="54A86EFB"/>
    <w:rsid w:val="54C75B22"/>
    <w:rsid w:val="54E22AC6"/>
    <w:rsid w:val="54F061B5"/>
    <w:rsid w:val="55221270"/>
    <w:rsid w:val="556F07D3"/>
    <w:rsid w:val="558B5037"/>
    <w:rsid w:val="559E7102"/>
    <w:rsid w:val="55B56202"/>
    <w:rsid w:val="55C825EE"/>
    <w:rsid w:val="55D6017A"/>
    <w:rsid w:val="55F173C8"/>
    <w:rsid w:val="56141926"/>
    <w:rsid w:val="56273479"/>
    <w:rsid w:val="563848C2"/>
    <w:rsid w:val="56422A50"/>
    <w:rsid w:val="567468CD"/>
    <w:rsid w:val="56793A04"/>
    <w:rsid w:val="56892168"/>
    <w:rsid w:val="56910AD7"/>
    <w:rsid w:val="56AE1574"/>
    <w:rsid w:val="56C91E46"/>
    <w:rsid w:val="56D420FA"/>
    <w:rsid w:val="57040E84"/>
    <w:rsid w:val="57092714"/>
    <w:rsid w:val="57396587"/>
    <w:rsid w:val="575018F9"/>
    <w:rsid w:val="57527777"/>
    <w:rsid w:val="577B3BA6"/>
    <w:rsid w:val="57823E9E"/>
    <w:rsid w:val="578C525A"/>
    <w:rsid w:val="578D4DAC"/>
    <w:rsid w:val="57B476B2"/>
    <w:rsid w:val="57F24C5E"/>
    <w:rsid w:val="5807630B"/>
    <w:rsid w:val="584E5BD4"/>
    <w:rsid w:val="586E26DB"/>
    <w:rsid w:val="586F0F37"/>
    <w:rsid w:val="58870761"/>
    <w:rsid w:val="588843BD"/>
    <w:rsid w:val="58C42A70"/>
    <w:rsid w:val="58F91E12"/>
    <w:rsid w:val="59276FB0"/>
    <w:rsid w:val="593C4DF0"/>
    <w:rsid w:val="594451AA"/>
    <w:rsid w:val="594C09E9"/>
    <w:rsid w:val="59AB3818"/>
    <w:rsid w:val="59BA4A4F"/>
    <w:rsid w:val="59FA5C48"/>
    <w:rsid w:val="5A23615A"/>
    <w:rsid w:val="5A594CC3"/>
    <w:rsid w:val="5AB62645"/>
    <w:rsid w:val="5AB62E9E"/>
    <w:rsid w:val="5AEC0A29"/>
    <w:rsid w:val="5BA63FF8"/>
    <w:rsid w:val="5BFC0629"/>
    <w:rsid w:val="5C0C687B"/>
    <w:rsid w:val="5C1025D6"/>
    <w:rsid w:val="5C194070"/>
    <w:rsid w:val="5CA950B8"/>
    <w:rsid w:val="5CC34927"/>
    <w:rsid w:val="5CCC40A8"/>
    <w:rsid w:val="5CD840A6"/>
    <w:rsid w:val="5D743D7A"/>
    <w:rsid w:val="5DC846DB"/>
    <w:rsid w:val="5DEF1492"/>
    <w:rsid w:val="5E62490A"/>
    <w:rsid w:val="5E9450EA"/>
    <w:rsid w:val="5EA56B79"/>
    <w:rsid w:val="5EAA05AA"/>
    <w:rsid w:val="5EAA2C32"/>
    <w:rsid w:val="5EB553EF"/>
    <w:rsid w:val="5EC24062"/>
    <w:rsid w:val="5EE43EBD"/>
    <w:rsid w:val="5EE6497B"/>
    <w:rsid w:val="5EE86421"/>
    <w:rsid w:val="5F4A0338"/>
    <w:rsid w:val="5F4B6306"/>
    <w:rsid w:val="5F4D5F3D"/>
    <w:rsid w:val="5F753293"/>
    <w:rsid w:val="5F813FB4"/>
    <w:rsid w:val="5F9D6160"/>
    <w:rsid w:val="5FA625F8"/>
    <w:rsid w:val="5FA74CDE"/>
    <w:rsid w:val="5FC83D90"/>
    <w:rsid w:val="5FD906B1"/>
    <w:rsid w:val="60157F0E"/>
    <w:rsid w:val="604D4E53"/>
    <w:rsid w:val="604E3B3C"/>
    <w:rsid w:val="60523854"/>
    <w:rsid w:val="606E557C"/>
    <w:rsid w:val="608A7AD1"/>
    <w:rsid w:val="609F4138"/>
    <w:rsid w:val="60B05DA4"/>
    <w:rsid w:val="60C522F4"/>
    <w:rsid w:val="60F67612"/>
    <w:rsid w:val="60F91023"/>
    <w:rsid w:val="60F96B19"/>
    <w:rsid w:val="610F01AA"/>
    <w:rsid w:val="61186932"/>
    <w:rsid w:val="6172326B"/>
    <w:rsid w:val="61A0746E"/>
    <w:rsid w:val="61BA08FF"/>
    <w:rsid w:val="61BC3A05"/>
    <w:rsid w:val="61E814D1"/>
    <w:rsid w:val="62034539"/>
    <w:rsid w:val="62480CD2"/>
    <w:rsid w:val="625271C5"/>
    <w:rsid w:val="628778FD"/>
    <w:rsid w:val="6298317C"/>
    <w:rsid w:val="62A819FC"/>
    <w:rsid w:val="631179B8"/>
    <w:rsid w:val="631F64C6"/>
    <w:rsid w:val="633B3162"/>
    <w:rsid w:val="63480A56"/>
    <w:rsid w:val="637D7119"/>
    <w:rsid w:val="637F1910"/>
    <w:rsid w:val="63B5059C"/>
    <w:rsid w:val="63EE589C"/>
    <w:rsid w:val="63FB4DA5"/>
    <w:rsid w:val="63FE2674"/>
    <w:rsid w:val="6419593D"/>
    <w:rsid w:val="641F5B3D"/>
    <w:rsid w:val="642F297C"/>
    <w:rsid w:val="64BE0803"/>
    <w:rsid w:val="64DE5FDC"/>
    <w:rsid w:val="65194DB1"/>
    <w:rsid w:val="652F2992"/>
    <w:rsid w:val="65333588"/>
    <w:rsid w:val="65390BC8"/>
    <w:rsid w:val="657C5654"/>
    <w:rsid w:val="657F0B71"/>
    <w:rsid w:val="65B26923"/>
    <w:rsid w:val="65BA7764"/>
    <w:rsid w:val="65C15B6B"/>
    <w:rsid w:val="65F400C6"/>
    <w:rsid w:val="66076538"/>
    <w:rsid w:val="66440F86"/>
    <w:rsid w:val="66615C35"/>
    <w:rsid w:val="669F1574"/>
    <w:rsid w:val="66E6079A"/>
    <w:rsid w:val="670B2782"/>
    <w:rsid w:val="670D2828"/>
    <w:rsid w:val="672D5701"/>
    <w:rsid w:val="672E5ED8"/>
    <w:rsid w:val="6739782C"/>
    <w:rsid w:val="6792360B"/>
    <w:rsid w:val="67BE2A1F"/>
    <w:rsid w:val="67D8115D"/>
    <w:rsid w:val="68103D21"/>
    <w:rsid w:val="681558F8"/>
    <w:rsid w:val="682409B3"/>
    <w:rsid w:val="683E50DD"/>
    <w:rsid w:val="685F1D77"/>
    <w:rsid w:val="689064B8"/>
    <w:rsid w:val="68CE2A83"/>
    <w:rsid w:val="68FF1FDD"/>
    <w:rsid w:val="69203ACC"/>
    <w:rsid w:val="694D6270"/>
    <w:rsid w:val="69775866"/>
    <w:rsid w:val="69822D0A"/>
    <w:rsid w:val="698719E7"/>
    <w:rsid w:val="6992130D"/>
    <w:rsid w:val="699F3FEA"/>
    <w:rsid w:val="69C04ABB"/>
    <w:rsid w:val="69DF40EB"/>
    <w:rsid w:val="69E32E3C"/>
    <w:rsid w:val="69E4755F"/>
    <w:rsid w:val="6A1914BA"/>
    <w:rsid w:val="6A2F5934"/>
    <w:rsid w:val="6A495850"/>
    <w:rsid w:val="6A7D6AC8"/>
    <w:rsid w:val="6A935322"/>
    <w:rsid w:val="6AB340D9"/>
    <w:rsid w:val="6ACD27D0"/>
    <w:rsid w:val="6ACE4D37"/>
    <w:rsid w:val="6AEE755B"/>
    <w:rsid w:val="6B647647"/>
    <w:rsid w:val="6B736C43"/>
    <w:rsid w:val="6B874C39"/>
    <w:rsid w:val="6B9C4A79"/>
    <w:rsid w:val="6B9C67C3"/>
    <w:rsid w:val="6BA975C5"/>
    <w:rsid w:val="6BEC6347"/>
    <w:rsid w:val="6C1B0549"/>
    <w:rsid w:val="6C534188"/>
    <w:rsid w:val="6C884678"/>
    <w:rsid w:val="6CD3048F"/>
    <w:rsid w:val="6CD47433"/>
    <w:rsid w:val="6CD535DE"/>
    <w:rsid w:val="6CD55628"/>
    <w:rsid w:val="6CED7E6B"/>
    <w:rsid w:val="6D357120"/>
    <w:rsid w:val="6D3A0978"/>
    <w:rsid w:val="6D4B40C0"/>
    <w:rsid w:val="6D690C16"/>
    <w:rsid w:val="6D6F56D1"/>
    <w:rsid w:val="6DB874DF"/>
    <w:rsid w:val="6DBA4F57"/>
    <w:rsid w:val="6DD022CE"/>
    <w:rsid w:val="6E1877DD"/>
    <w:rsid w:val="6E3C0450"/>
    <w:rsid w:val="6E550BFA"/>
    <w:rsid w:val="6EC82FBB"/>
    <w:rsid w:val="6EED18CD"/>
    <w:rsid w:val="6F3908D4"/>
    <w:rsid w:val="6F4109CE"/>
    <w:rsid w:val="6F4C61C4"/>
    <w:rsid w:val="6F8B19BE"/>
    <w:rsid w:val="6FAE3061"/>
    <w:rsid w:val="6FBF2D71"/>
    <w:rsid w:val="6FD31067"/>
    <w:rsid w:val="6FDD1809"/>
    <w:rsid w:val="6FE40A75"/>
    <w:rsid w:val="6FE96556"/>
    <w:rsid w:val="70222423"/>
    <w:rsid w:val="70251095"/>
    <w:rsid w:val="703749DF"/>
    <w:rsid w:val="70594BAA"/>
    <w:rsid w:val="70E978BC"/>
    <w:rsid w:val="70F2045B"/>
    <w:rsid w:val="71084330"/>
    <w:rsid w:val="71093547"/>
    <w:rsid w:val="713622F4"/>
    <w:rsid w:val="716E0274"/>
    <w:rsid w:val="71B5615E"/>
    <w:rsid w:val="71C27DBB"/>
    <w:rsid w:val="723A65F1"/>
    <w:rsid w:val="72617A45"/>
    <w:rsid w:val="727A5C94"/>
    <w:rsid w:val="72950866"/>
    <w:rsid w:val="72AA0C95"/>
    <w:rsid w:val="72B314F6"/>
    <w:rsid w:val="72BB5EEE"/>
    <w:rsid w:val="72D967C4"/>
    <w:rsid w:val="73207F98"/>
    <w:rsid w:val="73255C15"/>
    <w:rsid w:val="732E60FC"/>
    <w:rsid w:val="73654216"/>
    <w:rsid w:val="737C15E7"/>
    <w:rsid w:val="7396760B"/>
    <w:rsid w:val="73A56C56"/>
    <w:rsid w:val="73D33EF5"/>
    <w:rsid w:val="73E05013"/>
    <w:rsid w:val="73EF024F"/>
    <w:rsid w:val="740C4E59"/>
    <w:rsid w:val="744335D7"/>
    <w:rsid w:val="74567D3E"/>
    <w:rsid w:val="74905FB3"/>
    <w:rsid w:val="74966354"/>
    <w:rsid w:val="74A1661A"/>
    <w:rsid w:val="74C111F6"/>
    <w:rsid w:val="74E03A4B"/>
    <w:rsid w:val="74FC3AC4"/>
    <w:rsid w:val="75100D14"/>
    <w:rsid w:val="751B0501"/>
    <w:rsid w:val="752F30C8"/>
    <w:rsid w:val="755D7996"/>
    <w:rsid w:val="75626B88"/>
    <w:rsid w:val="75635C3C"/>
    <w:rsid w:val="75701B13"/>
    <w:rsid w:val="75784475"/>
    <w:rsid w:val="75A17CA1"/>
    <w:rsid w:val="75A6686D"/>
    <w:rsid w:val="75B708C9"/>
    <w:rsid w:val="75C444B4"/>
    <w:rsid w:val="761339E3"/>
    <w:rsid w:val="76294902"/>
    <w:rsid w:val="763900A2"/>
    <w:rsid w:val="76496D2D"/>
    <w:rsid w:val="767E6C03"/>
    <w:rsid w:val="76D16F69"/>
    <w:rsid w:val="76D432EF"/>
    <w:rsid w:val="76DA7DDF"/>
    <w:rsid w:val="76DF50E1"/>
    <w:rsid w:val="76F30378"/>
    <w:rsid w:val="77083349"/>
    <w:rsid w:val="77105C29"/>
    <w:rsid w:val="774B3241"/>
    <w:rsid w:val="77506E06"/>
    <w:rsid w:val="77667C2A"/>
    <w:rsid w:val="78051352"/>
    <w:rsid w:val="781265AD"/>
    <w:rsid w:val="783D21CE"/>
    <w:rsid w:val="78453EA9"/>
    <w:rsid w:val="78592431"/>
    <w:rsid w:val="78693479"/>
    <w:rsid w:val="786D6001"/>
    <w:rsid w:val="7871757F"/>
    <w:rsid w:val="788A7574"/>
    <w:rsid w:val="789B3E94"/>
    <w:rsid w:val="78C66C81"/>
    <w:rsid w:val="79062C4E"/>
    <w:rsid w:val="79354590"/>
    <w:rsid w:val="794569C4"/>
    <w:rsid w:val="79504EAC"/>
    <w:rsid w:val="79535D7E"/>
    <w:rsid w:val="79647B21"/>
    <w:rsid w:val="79BC5292"/>
    <w:rsid w:val="79C64480"/>
    <w:rsid w:val="7A0868CA"/>
    <w:rsid w:val="7A660F97"/>
    <w:rsid w:val="7AAA0AE2"/>
    <w:rsid w:val="7AD94A8C"/>
    <w:rsid w:val="7B2E33E6"/>
    <w:rsid w:val="7B34351C"/>
    <w:rsid w:val="7B54390E"/>
    <w:rsid w:val="7B657BE8"/>
    <w:rsid w:val="7B8F5234"/>
    <w:rsid w:val="7B9D712F"/>
    <w:rsid w:val="7BD0514B"/>
    <w:rsid w:val="7BD46C55"/>
    <w:rsid w:val="7C020026"/>
    <w:rsid w:val="7C215EF5"/>
    <w:rsid w:val="7C254D3D"/>
    <w:rsid w:val="7C820F71"/>
    <w:rsid w:val="7C992D9E"/>
    <w:rsid w:val="7CBF00CC"/>
    <w:rsid w:val="7CDD416F"/>
    <w:rsid w:val="7D090A2A"/>
    <w:rsid w:val="7D420B4A"/>
    <w:rsid w:val="7D514B49"/>
    <w:rsid w:val="7D723941"/>
    <w:rsid w:val="7D84505D"/>
    <w:rsid w:val="7E08568B"/>
    <w:rsid w:val="7E445010"/>
    <w:rsid w:val="7E5E3BE4"/>
    <w:rsid w:val="7E7200CC"/>
    <w:rsid w:val="7EA514C9"/>
    <w:rsid w:val="7EDF4D2A"/>
    <w:rsid w:val="7EE25807"/>
    <w:rsid w:val="7F055E40"/>
    <w:rsid w:val="7F6B05DF"/>
    <w:rsid w:val="7F9C2B85"/>
    <w:rsid w:val="7FB14FF4"/>
    <w:rsid w:val="7FC40E5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3"/>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4"/>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6"/>
    <w:unhideWhenUsed/>
    <w:qFormat/>
    <w:uiPriority w:val="99"/>
    <w:pPr>
      <w:jc w:val="left"/>
    </w:pPr>
  </w:style>
  <w:style w:type="paragraph" w:styleId="7">
    <w:name w:val="Date"/>
    <w:basedOn w:val="1"/>
    <w:next w:val="1"/>
    <w:link w:val="27"/>
    <w:unhideWhenUsed/>
    <w:qFormat/>
    <w:uiPriority w:val="99"/>
    <w:pPr>
      <w:ind w:left="100" w:leftChars="2500"/>
    </w:pPr>
  </w:style>
  <w:style w:type="paragraph" w:styleId="8">
    <w:name w:val="Balloon Text"/>
    <w:basedOn w:val="1"/>
    <w:link w:val="28"/>
    <w:unhideWhenUsed/>
    <w:qFormat/>
    <w:uiPriority w:val="99"/>
    <w:rPr>
      <w:kern w:val="0"/>
      <w:sz w:val="18"/>
      <w:szCs w:val="18"/>
    </w:rPr>
  </w:style>
  <w:style w:type="paragraph" w:styleId="9">
    <w:name w:val="footer"/>
    <w:basedOn w:val="1"/>
    <w:link w:val="29"/>
    <w:unhideWhenUsed/>
    <w:qFormat/>
    <w:uiPriority w:val="99"/>
    <w:pPr>
      <w:tabs>
        <w:tab w:val="center" w:pos="4153"/>
        <w:tab w:val="right" w:pos="8306"/>
      </w:tabs>
      <w:snapToGrid w:val="0"/>
      <w:jc w:val="left"/>
    </w:pPr>
    <w:rPr>
      <w:kern w:val="0"/>
      <w:sz w:val="18"/>
      <w:szCs w:val="18"/>
    </w:rPr>
  </w:style>
  <w:style w:type="paragraph" w:styleId="10">
    <w:name w:val="header"/>
    <w:basedOn w:val="1"/>
    <w:link w:val="3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qFormat/>
    <w:uiPriority w:val="99"/>
    <w:pPr>
      <w:snapToGrid w:val="0"/>
      <w:jc w:val="left"/>
    </w:pPr>
    <w:rPr>
      <w:sz w:val="18"/>
      <w:szCs w:val="18"/>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32"/>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正文文本 字符"/>
    <w:link w:val="2"/>
    <w:qFormat/>
    <w:uiPriority w:val="1"/>
    <w:rPr>
      <w:rFonts w:ascii="宋体" w:hAnsi="Times New Roman" w:eastAsia="宋体" w:cs="宋体"/>
      <w:kern w:val="0"/>
      <w:szCs w:val="21"/>
    </w:rPr>
  </w:style>
  <w:style w:type="character" w:customStyle="1" w:styleId="23">
    <w:name w:val="标题 1 字符"/>
    <w:link w:val="3"/>
    <w:qFormat/>
    <w:uiPriority w:val="1"/>
    <w:rPr>
      <w:rFonts w:ascii="黑体" w:hAnsi="Times New Roman" w:eastAsia="黑体" w:cs="黑体"/>
      <w:b/>
      <w:bCs/>
      <w:kern w:val="0"/>
      <w:sz w:val="36"/>
      <w:szCs w:val="36"/>
    </w:rPr>
  </w:style>
  <w:style w:type="character" w:customStyle="1" w:styleId="24">
    <w:name w:val="标题 2 字符"/>
    <w:link w:val="4"/>
    <w:qFormat/>
    <w:uiPriority w:val="9"/>
    <w:rPr>
      <w:rFonts w:ascii="Cambria" w:hAnsi="Cambria" w:eastAsia="宋体" w:cs="Times New Roman"/>
      <w:b/>
      <w:bCs/>
      <w:sz w:val="32"/>
      <w:szCs w:val="32"/>
    </w:rPr>
  </w:style>
  <w:style w:type="character" w:customStyle="1" w:styleId="25">
    <w:name w:val="标题 3 字符"/>
    <w:link w:val="5"/>
    <w:qFormat/>
    <w:uiPriority w:val="1"/>
    <w:rPr>
      <w:rFonts w:ascii="宋体" w:hAnsi="Times New Roman" w:eastAsia="宋体" w:cs="宋体"/>
      <w:b/>
      <w:bCs/>
      <w:kern w:val="0"/>
      <w:szCs w:val="21"/>
    </w:rPr>
  </w:style>
  <w:style w:type="character" w:customStyle="1" w:styleId="26">
    <w:name w:val="批注文字 字符"/>
    <w:link w:val="6"/>
    <w:qFormat/>
    <w:uiPriority w:val="99"/>
    <w:rPr>
      <w:kern w:val="2"/>
      <w:sz w:val="21"/>
      <w:szCs w:val="22"/>
    </w:rPr>
  </w:style>
  <w:style w:type="character" w:customStyle="1" w:styleId="27">
    <w:name w:val="日期 字符"/>
    <w:basedOn w:val="17"/>
    <w:link w:val="7"/>
    <w:semiHidden/>
    <w:qFormat/>
    <w:uiPriority w:val="99"/>
  </w:style>
  <w:style w:type="character" w:customStyle="1" w:styleId="28">
    <w:name w:val="批注框文本 字符"/>
    <w:link w:val="8"/>
    <w:semiHidden/>
    <w:qFormat/>
    <w:uiPriority w:val="99"/>
    <w:rPr>
      <w:sz w:val="18"/>
      <w:szCs w:val="18"/>
    </w:rPr>
  </w:style>
  <w:style w:type="character" w:customStyle="1" w:styleId="29">
    <w:name w:val="页脚 字符"/>
    <w:link w:val="9"/>
    <w:qFormat/>
    <w:uiPriority w:val="99"/>
    <w:rPr>
      <w:sz w:val="18"/>
      <w:szCs w:val="18"/>
    </w:rPr>
  </w:style>
  <w:style w:type="character" w:customStyle="1" w:styleId="30">
    <w:name w:val="页眉 字符"/>
    <w:link w:val="10"/>
    <w:qFormat/>
    <w:uiPriority w:val="99"/>
    <w:rPr>
      <w:sz w:val="18"/>
      <w:szCs w:val="18"/>
    </w:rPr>
  </w:style>
  <w:style w:type="character" w:customStyle="1" w:styleId="31">
    <w:name w:val="脚注文本 字符1"/>
    <w:link w:val="11"/>
    <w:semiHidden/>
    <w:qFormat/>
    <w:uiPriority w:val="99"/>
    <w:rPr>
      <w:kern w:val="2"/>
      <w:sz w:val="18"/>
      <w:szCs w:val="18"/>
    </w:rPr>
  </w:style>
  <w:style w:type="character" w:customStyle="1" w:styleId="32">
    <w:name w:val="批注主题 字符"/>
    <w:link w:val="14"/>
    <w:semiHidden/>
    <w:qFormat/>
    <w:uiPriority w:val="99"/>
    <w:rPr>
      <w:b/>
      <w:bCs/>
      <w:kern w:val="2"/>
      <w:sz w:val="21"/>
      <w:szCs w:val="22"/>
    </w:rPr>
  </w:style>
  <w:style w:type="character" w:customStyle="1" w:styleId="33">
    <w:name w:val="脚注文本 字符"/>
    <w:semiHidden/>
    <w:qFormat/>
    <w:uiPriority w:val="99"/>
    <w:rPr>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7">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24986</Words>
  <Characters>26214</Characters>
  <Lines>154</Lines>
  <Paragraphs>43</Paragraphs>
  <TotalTime>12</TotalTime>
  <ScaleCrop>false</ScaleCrop>
  <LinksUpToDate>false</LinksUpToDate>
  <CharactersWithSpaces>26234</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2025-08-18T08:08:22Z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11EADFB01A3D40F5A2C87D31EBF56466</vt:lpwstr>
  </property>
</Properties>
</file>