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黑体" w:hAnsi="宋体" w:eastAsia="黑体"/>
          <w:b/>
          <w:sz w:val="44"/>
          <w:szCs w:val="44"/>
        </w:rPr>
      </w:pPr>
      <w:r>
        <w:rPr>
          <w:rFonts w:hint="eastAsia" w:ascii="黑体" w:hAnsi="宋体" w:eastAsia="黑体"/>
          <w:b/>
          <w:sz w:val="44"/>
          <w:szCs w:val="44"/>
        </w:rPr>
        <w:t>宁银理财宁欣天天鎏金现金管理类理财产品S款9号产品说明书</w:t>
      </w:r>
    </w:p>
    <w:p>
      <w:pPr>
        <w:spacing w:line="312" w:lineRule="auto"/>
        <w:jc w:val="center"/>
        <w:rPr>
          <w:rFonts w:hint="eastAsia" w:ascii="黑体" w:hAnsi="黑体" w:eastAsia="黑体"/>
          <w:sz w:val="44"/>
          <w:szCs w:val="44"/>
        </w:rPr>
      </w:pPr>
      <w:r>
        <w:rPr>
          <w:rFonts w:hint="eastAsia" w:ascii="黑体" w:hAnsi="黑体" w:eastAsia="黑体"/>
          <w:sz w:val="24"/>
        </w:rPr>
        <w:t>（</w:t>
      </w:r>
      <w:r>
        <w:rPr>
          <w:rFonts w:ascii="黑体" w:hAnsi="黑体" w:eastAsia="黑体"/>
          <w:sz w:val="24"/>
        </w:rPr>
        <w:t>202</w:t>
      </w:r>
      <w:r>
        <w:rPr>
          <w:rFonts w:hint="eastAsia" w:ascii="黑体" w:hAnsi="黑体" w:eastAsia="黑体"/>
          <w:sz w:val="24"/>
        </w:rPr>
        <w:t>402版</w:t>
      </w:r>
      <w:r>
        <w:rPr>
          <w:rFonts w:ascii="黑体" w:hAnsi="黑体" w:eastAsia="黑体"/>
          <w:sz w:val="24"/>
        </w:rPr>
        <w:t>/</w:t>
      </w:r>
      <w:r>
        <w:rPr>
          <w:rFonts w:hint="eastAsia" w:ascii="黑体" w:hAnsi="黑体" w:eastAsia="黑体"/>
          <w:sz w:val="24"/>
        </w:rPr>
        <w:t>适用于现金管理类</w:t>
      </w:r>
      <w:r>
        <w:rPr>
          <w:rFonts w:ascii="黑体" w:hAnsi="黑体" w:eastAsia="黑体"/>
          <w:sz w:val="24"/>
        </w:rPr>
        <w:t>净值型理财</w:t>
      </w:r>
      <w:r>
        <w:rPr>
          <w:rFonts w:hint="eastAsia" w:ascii="黑体" w:hAnsi="黑体" w:eastAsia="黑体"/>
          <w:sz w:val="24"/>
        </w:rPr>
        <w:t>产品）</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一、重要说明</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、《宁银理财宁欣天天鎏金现金管理类理财产品S款9号</w:t>
      </w:r>
      <w:r>
        <w:rPr>
          <w:rFonts w:ascii="黑体" w:hAnsi="黑体" w:eastAsia="黑体" w:cs="黑体"/>
          <w:kern w:val="0"/>
          <w:szCs w:val="21"/>
        </w:rPr>
        <w:t>产品说明书</w:t>
      </w:r>
      <w:r>
        <w:rPr>
          <w:rFonts w:hint="eastAsia" w:ascii="黑体" w:hAnsi="黑体" w:eastAsia="黑体" w:cs="黑体"/>
          <w:kern w:val="0"/>
          <w:szCs w:val="21"/>
        </w:rPr>
        <w:t>》（下称</w:t>
      </w:r>
      <w:r>
        <w:rPr>
          <w:rFonts w:ascii="黑体" w:hAnsi="黑体" w:eastAsia="黑体" w:cs="黑体"/>
          <w:kern w:val="0"/>
          <w:szCs w:val="21"/>
        </w:rPr>
        <w:t>“</w:t>
      </w:r>
      <w:r>
        <w:rPr>
          <w:rFonts w:hint="eastAsia" w:ascii="黑体" w:hAnsi="黑体" w:eastAsia="黑体" w:cs="黑体"/>
          <w:kern w:val="0"/>
          <w:szCs w:val="21"/>
        </w:rPr>
        <w:t>本</w:t>
      </w:r>
      <w:r>
        <w:rPr>
          <w:rFonts w:ascii="黑体" w:hAnsi="黑体" w:eastAsia="黑体" w:cs="黑体"/>
          <w:kern w:val="0"/>
          <w:szCs w:val="21"/>
        </w:rPr>
        <w:t>说明</w:t>
      </w:r>
      <w:r>
        <w:rPr>
          <w:rFonts w:hint="eastAsia" w:ascii="黑体" w:hAnsi="黑体" w:eastAsia="黑体" w:cs="黑体"/>
          <w:kern w:val="0"/>
          <w:szCs w:val="21"/>
        </w:rPr>
        <w:t>书</w:t>
      </w:r>
      <w:r>
        <w:rPr>
          <w:rFonts w:ascii="黑体" w:hAnsi="黑体" w:eastAsia="黑体" w:cs="黑体"/>
          <w:kern w:val="0"/>
          <w:szCs w:val="21"/>
        </w:rPr>
        <w:t>”</w:t>
      </w:r>
      <w:r>
        <w:rPr>
          <w:rFonts w:hint="eastAsia" w:ascii="黑体" w:hAnsi="黑体" w:eastAsia="黑体" w:cs="黑体"/>
          <w:kern w:val="0"/>
          <w:szCs w:val="21"/>
        </w:rPr>
        <w:t>或《理财产品说明书》）与本理财产品的《风险揭示书》、《销售（代理销售）协议书》（通过代理销售机构销售的，文件具体名称以代理销售机构为准，下同）、《投资协议书》、《投资者权益须知》等理财产品销售文件共同构成一份完整且不可分割的、关于甲方所投资乙方理财产品的全部协议。若本说明书与上述</w:t>
      </w:r>
      <w:r>
        <w:rPr>
          <w:rFonts w:ascii="黑体" w:hAnsi="黑体" w:eastAsia="黑体" w:cs="黑体"/>
          <w:kern w:val="0"/>
          <w:szCs w:val="21"/>
        </w:rPr>
        <w:t>其他文本</w:t>
      </w:r>
      <w:r>
        <w:rPr>
          <w:rFonts w:hint="eastAsia" w:ascii="黑体" w:hAnsi="黑体" w:eastAsia="黑体" w:cs="黑体"/>
          <w:kern w:val="0"/>
          <w:szCs w:val="21"/>
        </w:rPr>
        <w:t>有不一致之处，以本说明书为准。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2、宁银理财</w:t>
      </w:r>
      <w:r>
        <w:rPr>
          <w:rFonts w:ascii="黑体" w:hAnsi="黑体" w:eastAsia="黑体" w:cs="黑体"/>
          <w:kern w:val="0"/>
          <w:szCs w:val="21"/>
        </w:rPr>
        <w:t>有限责任</w:t>
      </w:r>
      <w:r>
        <w:rPr>
          <w:rFonts w:hint="eastAsia" w:ascii="黑体" w:hAnsi="黑体" w:eastAsia="黑体" w:cs="黑体"/>
          <w:kern w:val="0"/>
          <w:szCs w:val="21"/>
        </w:rPr>
        <w:t>公司（下称“产品</w:t>
      </w:r>
      <w:r>
        <w:rPr>
          <w:rFonts w:ascii="黑体" w:hAnsi="黑体" w:eastAsia="黑体" w:cs="黑体"/>
          <w:kern w:val="0"/>
          <w:szCs w:val="21"/>
        </w:rPr>
        <w:t>管理人”</w:t>
      </w:r>
      <w:r>
        <w:rPr>
          <w:rFonts w:hint="eastAsia" w:ascii="黑体" w:hAnsi="黑体" w:eastAsia="黑体" w:cs="黑体"/>
          <w:kern w:val="0"/>
          <w:szCs w:val="21"/>
        </w:rPr>
        <w:t>）代理投资者进行理财资金的投资和管理，并严格遵照本说明书所载的内容进行操作。</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3、产品</w:t>
      </w:r>
      <w:r>
        <w:rPr>
          <w:rFonts w:ascii="黑体" w:hAnsi="黑体" w:eastAsia="黑体" w:cs="黑体"/>
          <w:kern w:val="0"/>
          <w:szCs w:val="21"/>
        </w:rPr>
        <w:t>管理人</w:t>
      </w:r>
      <w:r>
        <w:rPr>
          <w:rFonts w:hint="eastAsia" w:ascii="黑体" w:hAnsi="黑体" w:eastAsia="黑体" w:cs="黑体"/>
          <w:kern w:val="0"/>
          <w:szCs w:val="21"/>
        </w:rPr>
        <w:t>对本说明书具有解释权。</w:t>
      </w:r>
    </w:p>
    <w:p>
      <w:pPr>
        <w:autoSpaceDE w:val="0"/>
        <w:autoSpaceDN w:val="0"/>
        <w:adjustRightInd w:val="0"/>
        <w:ind w:firstLine="422" w:firstLineChars="200"/>
        <w:jc w:val="left"/>
        <w:rPr>
          <w:rFonts w:hint="eastAsia" w:ascii="黑体" w:hAnsi="黑体"/>
          <w:kern w:val="0"/>
        </w:rPr>
      </w:pPr>
      <w:r>
        <w:rPr>
          <w:rFonts w:ascii="黑体" w:hAnsi="黑体" w:eastAsia="黑体" w:cs="黑体"/>
          <w:b/>
          <w:kern w:val="0"/>
          <w:szCs w:val="21"/>
        </w:rPr>
        <w:t>4、理财产品过往业绩不代表其未来表现，不等于理财产品实际收益，投资须谨慎。</w:t>
      </w:r>
    </w:p>
    <w:p>
      <w:pPr>
        <w:autoSpaceDE w:val="0"/>
        <w:autoSpaceDN w:val="0"/>
        <w:adjustRightInd w:val="0"/>
        <w:ind w:firstLine="447" w:firstLineChars="213"/>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二</w:t>
      </w:r>
      <w:r>
        <w:rPr>
          <w:rFonts w:ascii="黑体" w:hAnsi="黑体" w:eastAsia="黑体" w:cs="黑体"/>
          <w:b/>
          <w:kern w:val="0"/>
          <w:szCs w:val="21"/>
        </w:rPr>
        <w:t>、</w:t>
      </w:r>
      <w:r>
        <w:rPr>
          <w:rFonts w:hint="eastAsia" w:ascii="黑体" w:hAnsi="黑体" w:eastAsia="黑体" w:cs="黑体"/>
          <w:b/>
          <w:kern w:val="0"/>
          <w:szCs w:val="21"/>
        </w:rPr>
        <w:t>产品要素</w:t>
      </w:r>
    </w:p>
    <w:tbl>
      <w:tblPr>
        <w:tblStyle w:val="3"/>
        <w:tblW w:w="844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产品代码</w:t>
            </w:r>
          </w:p>
        </w:tc>
        <w:tc>
          <w:tcPr>
            <w:tcW w:w="6458" w:type="dxa"/>
          </w:tcPr>
          <w:p>
            <w:pPr>
              <w:autoSpaceDE w:val="0"/>
              <w:autoSpaceDN w:val="0"/>
              <w:adjustRightInd w:val="0"/>
              <w:jc w:val="left"/>
              <w:rPr>
                <w:rFonts w:hint="eastAsia" w:ascii="黑体" w:hAnsi="黑体" w:eastAsia="黑体" w:cs="黑体"/>
                <w:kern w:val="0"/>
                <w:szCs w:val="21"/>
              </w:rPr>
            </w:pPr>
            <w:r>
              <w:rPr>
                <w:rFonts w:hint="eastAsia"/>
              </w:rPr>
              <w:t>ZGN235S009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全国</w:t>
            </w:r>
            <w:r>
              <w:rPr>
                <w:rFonts w:ascii="黑体" w:hAnsi="黑体" w:eastAsia="黑体" w:cs="黑体"/>
                <w:kern w:val="0"/>
                <w:szCs w:val="21"/>
              </w:rPr>
              <w:t>银行业</w:t>
            </w:r>
            <w:r>
              <w:rPr>
                <w:rFonts w:hint="eastAsia" w:ascii="黑体" w:hAnsi="黑体" w:eastAsia="黑体" w:cs="黑体"/>
                <w:kern w:val="0"/>
                <w:szCs w:val="21"/>
              </w:rPr>
              <w:t>信息</w:t>
            </w:r>
            <w:r>
              <w:rPr>
                <w:rFonts w:ascii="黑体" w:hAnsi="黑体" w:eastAsia="黑体" w:cs="黑体"/>
                <w:kern w:val="0"/>
                <w:szCs w:val="21"/>
              </w:rPr>
              <w:t>登记系统编码</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Z7002123000470</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凭此编码可在“中国理财网（www.chinawealth.com.cn）”上查询本产品信息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名称</w:t>
            </w:r>
          </w:p>
        </w:tc>
        <w:tc>
          <w:tcPr>
            <w:tcW w:w="6458" w:type="dxa"/>
          </w:tcPr>
          <w:p>
            <w:pPr>
              <w:autoSpaceDE w:val="0"/>
              <w:autoSpaceDN w:val="0"/>
              <w:adjustRightInd w:val="0"/>
              <w:jc w:val="left"/>
              <w:rPr>
                <w:rFonts w:hint="eastAsia" w:ascii="黑体" w:hAnsi="黑体" w:eastAsia="黑体" w:cs="黑体"/>
                <w:b/>
                <w:kern w:val="0"/>
                <w:szCs w:val="21"/>
              </w:rPr>
            </w:pPr>
            <w:bookmarkStart w:id="0" w:name="OLE_LINK21"/>
            <w:r>
              <w:rPr>
                <w:rFonts w:hint="eastAsia" w:ascii="黑体" w:hAnsi="黑体" w:eastAsia="黑体" w:cs="黑体"/>
                <w:b/>
                <w:kern w:val="0"/>
                <w:szCs w:val="21"/>
              </w:rPr>
              <w:t>宁银理财宁欣天天鎏金现金管理类理财产品S款9号</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类型</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固定收益类、非保本浮动收益型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募集</w:t>
            </w:r>
            <w:r>
              <w:rPr>
                <w:rFonts w:ascii="黑体" w:hAnsi="黑体" w:eastAsia="黑体" w:cs="黑体"/>
                <w:kern w:val="0"/>
                <w:szCs w:val="21"/>
              </w:rPr>
              <w:t>方式</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评级</w:t>
            </w:r>
          </w:p>
        </w:tc>
        <w:tc>
          <w:tcPr>
            <w:tcW w:w="6458" w:type="dxa"/>
          </w:tcPr>
          <w:p>
            <w:pPr>
              <w:autoSpaceDE w:val="0"/>
              <w:autoSpaceDN w:val="0"/>
              <w:adjustRightInd w:val="0"/>
              <w:jc w:val="left"/>
              <w:rPr>
                <w:rFonts w:hint="eastAsia" w:ascii="黑体" w:hAnsi="黑体" w:eastAsia="黑体" w:cs="黑体"/>
                <w:b/>
                <w:kern w:val="0"/>
                <w:szCs w:val="21"/>
              </w:rPr>
            </w:pPr>
            <w:r>
              <w:rPr>
                <w:rFonts w:ascii="黑体" w:hAnsi="黑体" w:eastAsia="黑体" w:cs="黑体"/>
                <w:b/>
                <w:kern w:val="0"/>
                <w:szCs w:val="21"/>
              </w:rPr>
              <w:t>PR1</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本评级</w:t>
            </w:r>
            <w:r>
              <w:rPr>
                <w:rFonts w:ascii="黑体" w:hAnsi="黑体" w:eastAsia="黑体" w:cs="黑体"/>
                <w:kern w:val="0"/>
                <w:szCs w:val="21"/>
              </w:rPr>
              <w:t>为</w:t>
            </w:r>
            <w:r>
              <w:rPr>
                <w:rFonts w:hint="eastAsia" w:ascii="黑体" w:hAnsi="黑体" w:eastAsia="黑体" w:cs="黑体"/>
                <w:kern w:val="0"/>
                <w:szCs w:val="21"/>
              </w:rPr>
              <w:t>产品</w:t>
            </w:r>
            <w:r>
              <w:rPr>
                <w:rFonts w:ascii="黑体" w:hAnsi="黑体" w:eastAsia="黑体" w:cs="黑体"/>
                <w:kern w:val="0"/>
                <w:szCs w:val="21"/>
              </w:rPr>
              <w:t>管理人内部评级，仅供参考</w:t>
            </w:r>
            <w:r>
              <w:rPr>
                <w:rFonts w:hint="eastAsia" w:ascii="黑体" w:hAnsi="黑体" w:eastAsia="黑体" w:cs="黑体"/>
                <w:kern w:val="0"/>
                <w:szCs w:val="21"/>
              </w:rPr>
              <w:t>。该产品通过代理销售机构渠道销售的，理财产品评级应当以代理销售机构最终披露的评级结果为准。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目标</w:t>
            </w:r>
            <w:r>
              <w:rPr>
                <w:rFonts w:ascii="黑体" w:hAnsi="黑体" w:eastAsia="黑体" w:cs="黑体"/>
                <w:kern w:val="0"/>
                <w:szCs w:val="21"/>
              </w:rPr>
              <w:t>投资者</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风险评级为保守型，稳健型，平衡型，成长型，进取型的投资者，其中A份额</w:t>
            </w:r>
            <w:r>
              <w:rPr>
                <w:rFonts w:hint="eastAsia" w:ascii="黑体" w:hAnsi="黑体" w:eastAsia="黑体" w:cs="黑体"/>
                <w:b/>
                <w:bCs/>
                <w:kern w:val="0"/>
                <w:szCs w:val="21"/>
              </w:rPr>
              <w:t>（销售代码：</w:t>
            </w:r>
            <w:r>
              <w:rPr>
                <w:rFonts w:ascii="黑体" w:hAnsi="黑体" w:eastAsia="黑体" w:cs="黑体"/>
                <w:b/>
                <w:bCs/>
                <w:kern w:val="0"/>
                <w:szCs w:val="21"/>
              </w:rPr>
              <w:t>ZGN235S00</w:t>
            </w:r>
            <w:r>
              <w:rPr>
                <w:rFonts w:hint="eastAsia" w:ascii="黑体" w:hAnsi="黑体" w:eastAsia="黑体" w:cs="黑体"/>
                <w:b/>
                <w:bCs/>
                <w:kern w:val="0"/>
                <w:szCs w:val="21"/>
              </w:rPr>
              <w:t>9</w:t>
            </w:r>
            <w:r>
              <w:rPr>
                <w:rFonts w:ascii="黑体" w:hAnsi="黑体" w:eastAsia="黑体" w:cs="黑体"/>
                <w:b/>
                <w:bCs/>
                <w:kern w:val="0"/>
                <w:szCs w:val="21"/>
              </w:rPr>
              <w:t>A</w:t>
            </w:r>
            <w:r>
              <w:rPr>
                <w:rFonts w:hint="eastAsia" w:ascii="黑体" w:hAnsi="黑体" w:eastAsia="黑体" w:cs="黑体"/>
                <w:b/>
                <w:bCs/>
                <w:kern w:val="0"/>
                <w:szCs w:val="21"/>
              </w:rPr>
              <w:t>）面向宁波银行渠道客户、宁银理财渠道客户、威海银行渠道客户、微众银行渠道客户</w:t>
            </w:r>
            <w:r>
              <w:rPr>
                <w:rFonts w:hint="eastAsia" w:ascii="黑体" w:hAnsi="黑体" w:eastAsia="黑体" w:cs="黑体"/>
                <w:b/>
                <w:kern w:val="0"/>
                <w:szCs w:val="21"/>
              </w:rPr>
              <w:t>，</w:t>
            </w:r>
            <w:bookmarkStart w:id="1" w:name="OLE_LINK16"/>
            <w:r>
              <w:rPr>
                <w:rFonts w:ascii="黑体" w:hAnsi="黑体" w:eastAsia="黑体" w:cs="黑体"/>
                <w:b/>
                <w:bCs/>
                <w:kern w:val="0"/>
                <w:szCs w:val="21"/>
              </w:rPr>
              <w:t>B</w:t>
            </w:r>
            <w:r>
              <w:rPr>
                <w:rFonts w:hint="eastAsia" w:ascii="黑体" w:hAnsi="黑体" w:eastAsia="黑体" w:cs="黑体"/>
                <w:b/>
                <w:bCs/>
                <w:kern w:val="0"/>
                <w:szCs w:val="21"/>
              </w:rPr>
              <w:t>份额（销售代码：</w:t>
            </w:r>
            <w:r>
              <w:rPr>
                <w:rFonts w:ascii="黑体" w:hAnsi="黑体" w:eastAsia="黑体" w:cs="黑体"/>
                <w:b/>
                <w:bCs/>
                <w:kern w:val="0"/>
                <w:szCs w:val="21"/>
              </w:rPr>
              <w:t>ZGN235S00</w:t>
            </w:r>
            <w:r>
              <w:rPr>
                <w:rFonts w:hint="eastAsia" w:ascii="黑体" w:hAnsi="黑体" w:eastAsia="黑体" w:cs="黑体"/>
                <w:b/>
                <w:bCs/>
                <w:kern w:val="0"/>
                <w:szCs w:val="21"/>
              </w:rPr>
              <w:t>9</w:t>
            </w:r>
            <w:r>
              <w:rPr>
                <w:rFonts w:ascii="黑体" w:hAnsi="黑体" w:eastAsia="黑体" w:cs="黑体"/>
                <w:b/>
                <w:bCs/>
                <w:kern w:val="0"/>
                <w:szCs w:val="21"/>
              </w:rPr>
              <w:t>B</w:t>
            </w:r>
            <w:r>
              <w:rPr>
                <w:rFonts w:hint="eastAsia" w:ascii="黑体" w:hAnsi="黑体" w:eastAsia="黑体" w:cs="黑体"/>
                <w:b/>
                <w:bCs/>
                <w:kern w:val="0"/>
                <w:szCs w:val="21"/>
              </w:rPr>
              <w:t>）面向宁银理财渠道预约客户、交通银行渠道客户、潍坊银行渠道客户，</w:t>
            </w:r>
            <w:bookmarkEnd w:id="1"/>
            <w:r>
              <w:rPr>
                <w:rFonts w:hint="eastAsia" w:ascii="黑体" w:hAnsi="黑体" w:eastAsia="黑体" w:cs="黑体"/>
                <w:b/>
                <w:bCs/>
                <w:kern w:val="0"/>
                <w:szCs w:val="21"/>
              </w:rPr>
              <w:t>C份额（销售代码：</w:t>
            </w:r>
            <w:r>
              <w:rPr>
                <w:rFonts w:ascii="黑体" w:hAnsi="黑体" w:eastAsia="黑体" w:cs="黑体"/>
                <w:b/>
                <w:bCs/>
                <w:kern w:val="0"/>
                <w:szCs w:val="21"/>
              </w:rPr>
              <w:t>ZGN235S00</w:t>
            </w:r>
            <w:r>
              <w:rPr>
                <w:rFonts w:hint="eastAsia" w:ascii="黑体" w:hAnsi="黑体" w:eastAsia="黑体" w:cs="黑体"/>
                <w:b/>
                <w:bCs/>
                <w:kern w:val="0"/>
                <w:szCs w:val="21"/>
              </w:rPr>
              <w:t>9C）面向宁银理财渠道特邀客户、平安银行渠道客户，D份额（销售代码：</w:t>
            </w:r>
            <w:r>
              <w:rPr>
                <w:rFonts w:ascii="黑体" w:hAnsi="黑体" w:eastAsia="黑体" w:cs="黑体"/>
                <w:b/>
                <w:bCs/>
                <w:kern w:val="0"/>
                <w:szCs w:val="21"/>
              </w:rPr>
              <w:t>ZGN235S00</w:t>
            </w:r>
            <w:r>
              <w:rPr>
                <w:rFonts w:hint="eastAsia" w:ascii="黑体" w:hAnsi="黑体" w:eastAsia="黑体" w:cs="黑体"/>
                <w:b/>
                <w:bCs/>
                <w:kern w:val="0"/>
                <w:szCs w:val="21"/>
              </w:rPr>
              <w:t>9D）面向部分非宁波银行渠道客户、广发银行渠道客户，E份额（销售代码：</w:t>
            </w:r>
            <w:r>
              <w:rPr>
                <w:rFonts w:ascii="黑体" w:hAnsi="黑体" w:eastAsia="黑体" w:cs="黑体"/>
                <w:b/>
                <w:bCs/>
                <w:kern w:val="0"/>
                <w:szCs w:val="21"/>
              </w:rPr>
              <w:t>ZGN235S00</w:t>
            </w:r>
            <w:r>
              <w:rPr>
                <w:rFonts w:hint="eastAsia" w:ascii="黑体" w:hAnsi="黑体" w:eastAsia="黑体" w:cs="黑体"/>
                <w:b/>
                <w:bCs/>
                <w:kern w:val="0"/>
                <w:szCs w:val="21"/>
              </w:rPr>
              <w:t>9E）面向部分非宁波银行渠道客户、光大银行渠道客户，F份额（销售代码：</w:t>
            </w:r>
            <w:r>
              <w:rPr>
                <w:rFonts w:ascii="黑体" w:hAnsi="黑体" w:eastAsia="黑体" w:cs="黑体"/>
                <w:b/>
                <w:bCs/>
                <w:kern w:val="0"/>
                <w:szCs w:val="21"/>
              </w:rPr>
              <w:t>ZGN235S00</w:t>
            </w:r>
            <w:r>
              <w:rPr>
                <w:rFonts w:hint="eastAsia" w:ascii="黑体" w:hAnsi="黑体" w:eastAsia="黑体" w:cs="黑体"/>
                <w:b/>
                <w:bCs/>
                <w:kern w:val="0"/>
                <w:szCs w:val="21"/>
              </w:rPr>
              <w:t>9F）面向部分非宁波银行渠道客户。</w:t>
            </w:r>
            <w:r>
              <w:rPr>
                <w:rFonts w:hint="eastAsia" w:ascii="黑体" w:hAnsi="黑体" w:eastAsia="黑体" w:cs="黑体"/>
                <w:b/>
                <w:kern w:val="0"/>
                <w:szCs w:val="21"/>
              </w:rPr>
              <w:t>（具体以销售机构的规则为准）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本金</w:t>
            </w:r>
            <w:r>
              <w:rPr>
                <w:rFonts w:ascii="黑体" w:hAnsi="黑体" w:eastAsia="黑体" w:cs="黑体"/>
                <w:kern w:val="0"/>
                <w:szCs w:val="21"/>
              </w:rPr>
              <w:t>及收益币种</w:t>
            </w:r>
          </w:p>
        </w:tc>
        <w:tc>
          <w:tcPr>
            <w:tcW w:w="6458" w:type="dxa"/>
          </w:tcPr>
          <w:p>
            <w:pPr>
              <w:autoSpaceDE w:val="0"/>
              <w:autoSpaceDN w:val="0"/>
              <w:adjustRightInd w:val="0"/>
              <w:jc w:val="left"/>
              <w:rPr>
                <w:rFonts w:hint="eastAsia" w:ascii="黑体" w:hAnsi="黑体" w:eastAsia="黑体" w:cs="黑体"/>
                <w:b/>
                <w:bCs/>
                <w:kern w:val="0"/>
                <w:szCs w:val="21"/>
              </w:rPr>
            </w:pPr>
            <w:r>
              <w:rPr>
                <w:rFonts w:hint="eastAsia" w:ascii="黑体" w:hAnsi="黑体" w:eastAsia="黑体" w:cs="黑体"/>
                <w:b/>
                <w:bCs/>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业绩</w:t>
            </w:r>
            <w:r>
              <w:rPr>
                <w:rFonts w:ascii="黑体" w:hAnsi="黑体" w:eastAsia="黑体" w:cs="黑体"/>
                <w:kern w:val="0"/>
                <w:szCs w:val="21"/>
              </w:rPr>
              <w:t>比较基准</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__</w:t>
            </w:r>
            <w:r>
              <w:rPr>
                <w:rFonts w:hint="eastAsia" w:ascii="黑体" w:hAnsi="黑体" w:eastAsia="黑体" w:cs="黑体"/>
                <w:b/>
                <w:kern w:val="0"/>
                <w:szCs w:val="21"/>
                <w:u w:val="single"/>
              </w:rPr>
              <w:t>/</w:t>
            </w:r>
            <w:r>
              <w:rPr>
                <w:rFonts w:hint="eastAsia" w:ascii="黑体" w:hAnsi="黑体" w:eastAsia="黑体" w:cs="黑体"/>
                <w:b/>
                <w:kern w:val="0"/>
                <w:szCs w:val="21"/>
              </w:rPr>
              <w:t>__，业绩比较基准不是预期收益率，不代表产品的未来表现和实际收益，不构成对产品本金的保证和收益的承诺，仅供投资者参考。</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业绩比较基准测算依据：__</w:t>
            </w:r>
            <w:r>
              <w:rPr>
                <w:rFonts w:hint="eastAsia" w:ascii="黑体" w:hAnsi="黑体" w:eastAsia="黑体" w:cs="黑体"/>
                <w:b/>
                <w:kern w:val="0"/>
                <w:szCs w:val="21"/>
                <w:u w:val="single"/>
              </w:rPr>
              <w:t>/</w:t>
            </w:r>
            <w:r>
              <w:rPr>
                <w:rFonts w:hint="eastAsia" w:ascii="黑体" w:hAnsi="黑体" w:eastAsia="黑体" w:cs="黑体"/>
                <w:b/>
                <w:kern w:val="0"/>
                <w:szCs w:val="21"/>
              </w:rPr>
              <w:t>__。</w:t>
            </w:r>
          </w:p>
          <w:p>
            <w:pPr>
              <w:autoSpaceDE w:val="0"/>
              <w:autoSpaceDN w:val="0"/>
              <w:adjustRightInd w:val="0"/>
              <w:jc w:val="left"/>
              <w:rPr>
                <w:rFonts w:hint="eastAsia" w:ascii="黑体" w:hAnsi="黑体" w:eastAsia="黑体" w:cs="黑体"/>
                <w:b/>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本产品将采取灵活的资产配置策略和积极主动的投资管理措施，并适时运用骑乘策略、杠杆策略和票息策略等投资策略，对投资组合进行收益增厚，在严格控制风险的基础上，力争为投资者提供持续稳健的投资回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业绩比较基准可用于确定产品管理人是否收取超额业绩报酬，投资者所能获得的最终收益以管理人实际支付为准，业绩比较基准不作为产品管理人向投资者支付本产品本金或收益的承诺。</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产品为净值型产品，业绩表现将随市场情况波动，具有不确定性。当监管政策、市场环境、产品性质等因素发生变化，导致理财产品的业绩比较基准需要调整时，产品管理人将至少于调整日之前3个工作日通过机构官方渠道、行业统一信息披露渠道或与投资者约定的其他渠道公布调整情况和调整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募集期</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2023年11月22日至2023年11月28日</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在本产品募集期内，产品</w:t>
            </w:r>
            <w:r>
              <w:rPr>
                <w:rFonts w:ascii="黑体" w:hAnsi="黑体" w:eastAsia="黑体" w:cs="黑体"/>
                <w:kern w:val="0"/>
                <w:szCs w:val="21"/>
              </w:rPr>
              <w:t>管理人有权根据产品实际募集情况调整产品募集</w:t>
            </w:r>
            <w:r>
              <w:rPr>
                <w:rFonts w:hint="eastAsia" w:ascii="黑体" w:hAnsi="黑体" w:eastAsia="黑体" w:cs="黑体"/>
                <w:kern w:val="0"/>
                <w:szCs w:val="21"/>
              </w:rPr>
              <w:t>结束日，</w:t>
            </w:r>
            <w:r>
              <w:rPr>
                <w:rFonts w:ascii="黑体" w:hAnsi="黑体" w:eastAsia="黑体" w:cs="黑体"/>
                <w:kern w:val="0"/>
                <w:szCs w:val="21"/>
              </w:rPr>
              <w:t>调整前将进行相关</w:t>
            </w:r>
            <w:r>
              <w:rPr>
                <w:rFonts w:hint="eastAsia" w:ascii="黑体" w:hAnsi="黑体" w:eastAsia="黑体" w:cs="黑体"/>
                <w:kern w:val="0"/>
                <w:szCs w:val="21"/>
              </w:rPr>
              <w:t>信息</w:t>
            </w:r>
            <w:r>
              <w:rPr>
                <w:rFonts w:ascii="黑体" w:hAnsi="黑体" w:eastAsia="黑体" w:cs="黑体"/>
                <w:kern w:val="0"/>
                <w:szCs w:val="21"/>
              </w:rPr>
              <w:t>披露</w:t>
            </w:r>
            <w:r>
              <w:rPr>
                <w:rFonts w:hint="eastAsia" w:ascii="黑体" w:hAnsi="黑体" w:eastAsia="黑体" w:cs="黑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成立日</w:t>
            </w:r>
          </w:p>
        </w:tc>
        <w:tc>
          <w:tcPr>
            <w:tcW w:w="6458" w:type="dxa"/>
          </w:tcPr>
          <w:p>
            <w:pPr>
              <w:autoSpaceDE w:val="0"/>
              <w:autoSpaceDN w:val="0"/>
              <w:adjustRightInd w:val="0"/>
              <w:jc w:val="left"/>
              <w:rPr>
                <w:rFonts w:hint="eastAsia" w:ascii="黑体" w:hAnsi="黑体" w:eastAsia="黑体" w:cs="黑体"/>
                <w:b/>
                <w:kern w:val="0"/>
                <w:szCs w:val="21"/>
                <w:u w:val="single"/>
              </w:rPr>
            </w:pPr>
            <w:r>
              <w:rPr>
                <w:rFonts w:hint="eastAsia" w:ascii="黑体" w:hAnsi="黑体" w:eastAsia="黑体" w:cs="黑体"/>
                <w:b/>
                <w:kern w:val="0"/>
                <w:szCs w:val="21"/>
              </w:rPr>
              <w:t>本产品成立日为2023年11月29日</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1、为保护投资者权益，产品</w:t>
            </w:r>
            <w:r>
              <w:rPr>
                <w:rFonts w:ascii="黑体" w:hAnsi="黑体" w:eastAsia="黑体" w:cs="黑体"/>
                <w:kern w:val="0"/>
                <w:szCs w:val="21"/>
              </w:rPr>
              <w:t>管理人</w:t>
            </w:r>
            <w:r>
              <w:rPr>
                <w:rFonts w:hint="eastAsia" w:ascii="黑体" w:hAnsi="黑体" w:eastAsia="黑体" w:cs="黑体"/>
                <w:kern w:val="0"/>
                <w:szCs w:val="21"/>
              </w:rPr>
              <w:t>可根据市场变化情况缩短或延长募集期并提前或推迟成立，届时</w:t>
            </w:r>
            <w:r>
              <w:rPr>
                <w:rFonts w:ascii="黑体" w:hAnsi="黑体" w:eastAsia="黑体" w:cs="黑体"/>
                <w:kern w:val="0"/>
                <w:szCs w:val="21"/>
              </w:rPr>
              <w:t>产品管理人</w:t>
            </w:r>
            <w:r>
              <w:rPr>
                <w:rFonts w:hint="eastAsia" w:ascii="黑体" w:hAnsi="黑体" w:eastAsia="黑体" w:cs="黑体"/>
                <w:kern w:val="0"/>
                <w:szCs w:val="21"/>
              </w:rPr>
              <w:t>将调整相关日期并进行信息披露。</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2、若</w:t>
            </w:r>
            <w:r>
              <w:rPr>
                <w:rFonts w:ascii="黑体" w:hAnsi="黑体" w:eastAsia="黑体" w:cs="黑体"/>
                <w:kern w:val="0"/>
                <w:szCs w:val="21"/>
              </w:rPr>
              <w:t>产品认购份额未达到最低成立规模，或</w:t>
            </w:r>
            <w:r>
              <w:rPr>
                <w:rFonts w:hint="eastAsia" w:ascii="黑体" w:hAnsi="黑体" w:eastAsia="黑体" w:cs="宋体"/>
                <w:kern w:val="0"/>
                <w:szCs w:val="21"/>
              </w:rPr>
              <w:t>遇到包括但不限于国家金融政策发生重大调整、金融市场发生重大波动、</w:t>
            </w:r>
            <w:r>
              <w:rPr>
                <w:rFonts w:ascii="黑体" w:hAnsi="黑体" w:eastAsia="黑体" w:cs="黑体"/>
                <w:kern w:val="0"/>
                <w:szCs w:val="21"/>
              </w:rPr>
              <w:t>不可抗力</w:t>
            </w:r>
            <w:r>
              <w:rPr>
                <w:rFonts w:hint="eastAsia" w:ascii="黑体" w:hAnsi="黑体" w:eastAsia="黑体" w:cs="宋体"/>
                <w:kern w:val="0"/>
                <w:szCs w:val="21"/>
              </w:rPr>
              <w:t>或产品管理人</w:t>
            </w:r>
            <w:r>
              <w:rPr>
                <w:rFonts w:hint="eastAsia" w:ascii="黑体" w:hAnsi="黑体" w:eastAsia="黑体" w:cs="黑体"/>
                <w:kern w:val="0"/>
                <w:szCs w:val="21"/>
              </w:rPr>
              <w:t>认为会影响</w:t>
            </w:r>
            <w:r>
              <w:rPr>
                <w:rFonts w:ascii="黑体" w:hAnsi="黑体" w:eastAsia="黑体" w:cs="黑体"/>
                <w:kern w:val="0"/>
                <w:szCs w:val="21"/>
              </w:rPr>
              <w:t>产品成立</w:t>
            </w:r>
            <w:r>
              <w:rPr>
                <w:rFonts w:hint="eastAsia" w:ascii="黑体" w:hAnsi="黑体" w:eastAsia="黑体" w:cs="黑体"/>
                <w:kern w:val="0"/>
                <w:szCs w:val="21"/>
              </w:rPr>
              <w:t>的其他因素时</w:t>
            </w:r>
            <w:r>
              <w:rPr>
                <w:rFonts w:ascii="黑体" w:hAnsi="黑体" w:eastAsia="黑体" w:cs="黑体"/>
                <w:kern w:val="0"/>
                <w:szCs w:val="21"/>
              </w:rPr>
              <w:t>，</w:t>
            </w:r>
            <w:r>
              <w:rPr>
                <w:rFonts w:hint="eastAsia" w:ascii="黑体" w:hAnsi="黑体" w:eastAsia="黑体" w:cs="黑体"/>
                <w:b/>
                <w:bCs/>
                <w:kern w:val="0"/>
                <w:szCs w:val="21"/>
              </w:rPr>
              <w:t>产品管理人可以宣布产品不成立，该情形下投资者认购资金将于产品募集期结束后5个工作日内解冻或返还至投资者指定账户，在途期间投资者投资本金不计息。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到期</w:t>
            </w:r>
            <w:r>
              <w:rPr>
                <w:rFonts w:hint="eastAsia" w:ascii="黑体" w:hAnsi="黑体" w:eastAsia="黑体" w:cs="黑体"/>
                <w:kern w:val="0"/>
                <w:szCs w:val="21"/>
              </w:rPr>
              <w:t>日</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2050年12月31日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产品</w:t>
            </w:r>
            <w:r>
              <w:rPr>
                <w:rFonts w:ascii="黑体" w:hAnsi="黑体" w:eastAsia="黑体" w:cs="黑体"/>
                <w:b/>
                <w:kern w:val="0"/>
                <w:szCs w:val="21"/>
              </w:rPr>
              <w:t>成立日</w:t>
            </w:r>
            <w:r>
              <w:rPr>
                <w:rFonts w:hint="eastAsia" w:ascii="黑体" w:hAnsi="黑体" w:eastAsia="黑体" w:cs="黑体"/>
                <w:b/>
                <w:kern w:val="0"/>
                <w:szCs w:val="21"/>
              </w:rPr>
              <w:t>至</w:t>
            </w:r>
            <w:r>
              <w:rPr>
                <w:rFonts w:ascii="黑体" w:hAnsi="黑体" w:eastAsia="黑体" w:cs="黑体"/>
                <w:b/>
                <w:kern w:val="0"/>
                <w:szCs w:val="21"/>
              </w:rPr>
              <w:t>产品到期日</w:t>
            </w:r>
            <w:r>
              <w:rPr>
                <w:rFonts w:hint="eastAsia" w:ascii="黑体" w:hAnsi="黑体" w:eastAsia="黑体" w:cs="黑体"/>
                <w:b/>
                <w:kern w:val="0"/>
                <w:szCs w:val="21"/>
              </w:rPr>
              <w:t>期</w:t>
            </w:r>
            <w:r>
              <w:rPr>
                <w:rFonts w:ascii="黑体" w:hAnsi="黑体" w:eastAsia="黑体" w:cs="黑体"/>
                <w:b/>
                <w:kern w:val="0"/>
                <w:szCs w:val="21"/>
              </w:rPr>
              <w:t>间为产品存续期。</w:t>
            </w:r>
            <w:r>
              <w:rPr>
                <w:rFonts w:hint="eastAsia" w:ascii="黑体" w:hAnsi="黑体" w:eastAsia="黑体" w:cs="黑体"/>
                <w:b/>
                <w:kern w:val="0"/>
                <w:szCs w:val="21"/>
              </w:rPr>
              <w:t>详见</w:t>
            </w:r>
            <w:r>
              <w:rPr>
                <w:rFonts w:ascii="黑体" w:hAnsi="黑体" w:eastAsia="黑体" w:cs="黑体"/>
                <w:b/>
                <w:kern w:val="0"/>
                <w:szCs w:val="21"/>
              </w:rPr>
              <w:t>本说明书第</w:t>
            </w:r>
            <w:r>
              <w:rPr>
                <w:rFonts w:hint="eastAsia" w:ascii="黑体" w:hAnsi="黑体" w:eastAsia="黑体" w:cs="黑体"/>
                <w:b/>
                <w:kern w:val="0"/>
                <w:szCs w:val="21"/>
              </w:rPr>
              <w:t>七</w:t>
            </w:r>
            <w:r>
              <w:rPr>
                <w:rFonts w:ascii="黑体" w:hAnsi="黑体" w:eastAsia="黑体" w:cs="黑体"/>
                <w:b/>
                <w:kern w:val="0"/>
                <w:szCs w:val="21"/>
              </w:rPr>
              <w:t>部分</w:t>
            </w:r>
            <w:r>
              <w:rPr>
                <w:rFonts w:hint="eastAsia" w:ascii="黑体" w:hAnsi="黑体" w:eastAsia="黑体" w:cs="黑体"/>
                <w:b/>
                <w:bCs/>
                <w:kern w:val="0"/>
                <w:szCs w:val="21"/>
              </w:rPr>
              <w:t>理财产品到期与终止</w:t>
            </w:r>
            <w:r>
              <w:rPr>
                <w:rFonts w:ascii="黑体" w:hAnsi="黑体" w:eastAsia="黑体" w:cs="黑体"/>
                <w:b/>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产品开放日</w:t>
            </w:r>
          </w:p>
        </w:tc>
        <w:tc>
          <w:tcPr>
            <w:tcW w:w="6458" w:type="dxa"/>
          </w:tcPr>
          <w:p>
            <w:pPr>
              <w:autoSpaceDE w:val="0"/>
              <w:autoSpaceDN w:val="0"/>
              <w:adjustRightInd w:val="0"/>
              <w:jc w:val="left"/>
              <w:rPr>
                <w:rFonts w:hint="eastAsia" w:ascii="黑体" w:hAnsi="黑体" w:eastAsia="黑体" w:cs="黑体"/>
                <w:b/>
                <w:bCs/>
                <w:kern w:val="0"/>
                <w:szCs w:val="21"/>
              </w:rPr>
            </w:pPr>
            <w:r>
              <w:rPr>
                <w:rFonts w:hint="eastAsia" w:ascii="黑体" w:hAnsi="黑体" w:eastAsia="黑体" w:cs="黑体"/>
                <w:b/>
                <w:bCs/>
                <w:kern w:val="0"/>
                <w:szCs w:val="21"/>
              </w:rPr>
              <w:t>产品存续期内，每个工作日为产品开放日。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bCs/>
                <w:kern w:val="0"/>
                <w:szCs w:val="21"/>
              </w:rPr>
              <w:t>在理财产品存续期内，本公司有权根据市场情况变化暂停或调整本理财产品的申购、赎回安排，相关安排请以届时提前公告为准。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认购、申购</w:t>
            </w:r>
            <w:r>
              <w:rPr>
                <w:rFonts w:ascii="黑体" w:hAnsi="黑体" w:eastAsia="黑体" w:cs="黑体"/>
                <w:kern w:val="0"/>
                <w:szCs w:val="21"/>
              </w:rPr>
              <w:t>、赎回</w:t>
            </w:r>
            <w:r>
              <w:rPr>
                <w:rFonts w:hint="eastAsia" w:ascii="黑体" w:hAnsi="黑体" w:eastAsia="黑体" w:cs="黑体"/>
                <w:kern w:val="0"/>
                <w:szCs w:val="21"/>
              </w:rPr>
              <w:t>及撤单</w:t>
            </w:r>
            <w:r>
              <w:rPr>
                <w:rFonts w:ascii="黑体" w:hAnsi="黑体" w:eastAsia="黑体" w:cs="黑体"/>
                <w:kern w:val="0"/>
                <w:szCs w:val="21"/>
              </w:rPr>
              <w:t>时间</w:t>
            </w:r>
          </w:p>
        </w:tc>
        <w:tc>
          <w:tcPr>
            <w:tcW w:w="6458" w:type="dxa"/>
          </w:tcPr>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产品募集期第一日</w:t>
            </w:r>
            <w:r>
              <w:rPr>
                <w:rFonts w:ascii="黑体" w:hAnsi="黑体" w:eastAsia="黑体" w:cs="宋体"/>
                <w:kern w:val="0"/>
                <w:szCs w:val="21"/>
              </w:rPr>
              <w:t>9:00至最后一日17</w:t>
            </w:r>
            <w:r>
              <w:rPr>
                <w:rFonts w:hint="eastAsia" w:ascii="黑体" w:hAnsi="黑体" w:eastAsia="黑体" w:cs="宋体"/>
                <w:kern w:val="0"/>
                <w:szCs w:val="21"/>
              </w:rPr>
              <w:t>:0</w:t>
            </w:r>
            <w:r>
              <w:rPr>
                <w:rFonts w:ascii="黑体" w:hAnsi="黑体" w:eastAsia="黑体" w:cs="宋体"/>
                <w:kern w:val="0"/>
                <w:szCs w:val="21"/>
              </w:rPr>
              <w:t>0投资者可以提交或撤销认购申请；</w:t>
            </w:r>
            <w:r>
              <w:rPr>
                <w:rFonts w:hint="eastAsia" w:ascii="黑体" w:hAnsi="黑体" w:eastAsia="黑体" w:cs="宋体"/>
                <w:kern w:val="0"/>
                <w:szCs w:val="21"/>
              </w:rPr>
              <w:t>产品存续期间，投资者可以提交申购和赎回申请，在产品管理人确认申购/赎回份额前，投资者可以对申购和赎回申请进行撤销。产品实际认购、申购、赎回及撤单时间具体以销售机构展示为准。具体交易规则见后文四、产品交易相关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每万份产品净收益</w:t>
            </w:r>
          </w:p>
        </w:tc>
        <w:tc>
          <w:tcPr>
            <w:tcW w:w="6458" w:type="dxa"/>
          </w:tcPr>
          <w:p>
            <w:pPr>
              <w:autoSpaceDE w:val="0"/>
              <w:autoSpaceDN w:val="0"/>
              <w:adjustRightInd w:val="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日每万份产品净收益</w:t>
            </w:r>
            <w:r>
              <w:rPr>
                <w:rFonts w:ascii="黑体" w:hAnsi="黑体" w:eastAsia="黑体" w:cs="黑体"/>
                <w:color w:val="000000" w:themeColor="text1"/>
                <w:kern w:val="0"/>
                <w:szCs w:val="21"/>
                <w14:textFill>
                  <w14:solidFill>
                    <w14:schemeClr w14:val="tx1"/>
                  </w14:solidFill>
                </w14:textFill>
              </w:rPr>
              <w:t>=[当日理财产品净收益/当日产品</w:t>
            </w:r>
            <w:r>
              <w:rPr>
                <w:rFonts w:hint="eastAsia" w:ascii="黑体" w:hAnsi="黑体" w:eastAsia="黑体" w:cs="黑体"/>
                <w:color w:val="000000" w:themeColor="text1"/>
                <w:kern w:val="0"/>
                <w:szCs w:val="21"/>
                <w14:textFill>
                  <w14:solidFill>
                    <w14:schemeClr w14:val="tx1"/>
                  </w14:solidFill>
                </w14:textFill>
              </w:rPr>
              <w:t>份额总额</w:t>
            </w:r>
            <w:r>
              <w:rPr>
                <w:rFonts w:ascii="黑体" w:hAnsi="黑体" w:eastAsia="黑体" w:cs="黑体"/>
                <w:color w:val="000000" w:themeColor="text1"/>
                <w:kern w:val="0"/>
                <w:szCs w:val="21"/>
                <w14:textFill>
                  <w14:solidFill>
                    <w14:schemeClr w14:val="tx1"/>
                  </w14:solidFill>
                </w14:textFill>
              </w:rPr>
              <w:t>]</w:t>
            </w:r>
            <m:oMath>
              <m:r>
                <m:rPr>
                  <m:sty m:val="p"/>
                </m:rPr>
                <w:rPr>
                  <w:rFonts w:ascii="Cambria Math" w:hAnsi="Cambria Math" w:eastAsia="Cambria Math" w:cs="黑体"/>
                  <w:color w:val="000000" w:themeColor="text1"/>
                  <w:kern w:val="0"/>
                  <w:szCs w:val="21"/>
                  <w14:textFill>
                    <w14:solidFill>
                      <w14:schemeClr w14:val="tx1"/>
                    </w14:solidFill>
                  </w14:textFill>
                </w:rPr>
                <m:t>×</m:t>
              </m:r>
            </m:oMath>
            <w:r>
              <w:rPr>
                <w:rFonts w:ascii="黑体" w:hAnsi="黑体" w:eastAsia="黑体" w:cs="黑体"/>
                <w:color w:val="000000" w:themeColor="text1"/>
                <w:kern w:val="0"/>
                <w:szCs w:val="21"/>
                <w14:textFill>
                  <w14:solidFill>
                    <w14:schemeClr w14:val="tx1"/>
                  </w14:solidFill>
                </w14:textFill>
              </w:rPr>
              <w:t>10,000</w:t>
            </w:r>
          </w:p>
          <w:p>
            <w:pPr>
              <w:autoSpaceDE w:val="0"/>
              <w:autoSpaceDN w:val="0"/>
              <w:adjustRightInd w:val="0"/>
              <w:jc w:val="left"/>
              <w:rPr>
                <w:rFonts w:hint="eastAsia" w:ascii="黑体" w:hAnsi="黑体" w:eastAsia="黑体" w:cs="宋体"/>
                <w:kern w:val="0"/>
                <w:szCs w:val="21"/>
              </w:rPr>
            </w:pPr>
            <w:r>
              <w:rPr>
                <w:rFonts w:hint="eastAsia" w:ascii="黑体" w:hAnsi="黑体" w:eastAsia="黑体" w:cs="黑体"/>
                <w:color w:val="000000" w:themeColor="text1"/>
                <w:kern w:val="0"/>
                <w:szCs w:val="21"/>
                <w14:textFill>
                  <w14:solidFill>
                    <w14:schemeClr w14:val="tx1"/>
                  </w14:solidFill>
                </w14:textFill>
              </w:rPr>
              <w:t>每万份产品净收益的计算按照四舍五入原则，精确至小数点后</w:t>
            </w:r>
            <w:r>
              <w:rPr>
                <w:rFonts w:ascii="黑体" w:hAnsi="黑体" w:eastAsia="黑体" w:cs="黑体"/>
                <w:color w:val="000000" w:themeColor="text1"/>
                <w:kern w:val="0"/>
                <w:szCs w:val="21"/>
                <w14:textFill>
                  <w14:solidFill>
                    <w14:schemeClr w14:val="tx1"/>
                  </w14:solidFill>
                </w14:textFill>
              </w:rPr>
              <w:t>4位</w:t>
            </w:r>
            <w:r>
              <w:rPr>
                <w:rFonts w:hint="eastAsia" w:ascii="黑体" w:hAnsi="黑体" w:eastAsia="黑体" w:cs="黑体"/>
                <w:color w:val="000000" w:themeColor="text1"/>
                <w:kern w:val="0"/>
                <w:szCs w:val="21"/>
                <w14:textFill>
                  <w14:solidFill>
                    <w14:schemeClr w14:val="tx1"/>
                  </w14:solidFill>
                </w14:textFill>
              </w:rPr>
              <w:t>（实际展示以销售机构为准）</w:t>
            </w:r>
            <w:r>
              <w:rPr>
                <w:rFonts w:ascii="黑体" w:hAnsi="黑体" w:eastAsia="黑体" w:cs="黑体"/>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七日年化收益率</w:t>
            </w:r>
          </w:p>
        </w:tc>
        <w:tc>
          <w:tcPr>
            <w:tcW w:w="6458" w:type="dxa"/>
          </w:tcPr>
          <w:p>
            <w:pPr>
              <w:autoSpaceDE w:val="0"/>
              <w:autoSpaceDN w:val="0"/>
              <w:adjustRightInd w:val="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按日结转份额的七日年化收益率</w:t>
            </w:r>
            <w:r>
              <w:rPr>
                <w:rFonts w:ascii="黑体" w:hAnsi="黑体" w:eastAsia="黑体" w:cs="黑体"/>
                <w:color w:val="000000" w:themeColor="text1"/>
                <w:kern w:val="0"/>
                <w:szCs w:val="21"/>
                <w14:textFill>
                  <w14:solidFill>
                    <w14:schemeClr w14:val="tx1"/>
                  </w14:solidFill>
                </w14:textFill>
              </w:rPr>
              <w:t>=</w:t>
            </w:r>
            <m:oMath>
              <m:d>
                <m:dPr>
                  <m:begChr m:val="{"/>
                  <m:endChr m:val="}"/>
                  <m:ctrlPr>
                    <w:rPr>
                      <w:rFonts w:ascii="Cambria Math" w:hAnsi="Cambria Math" w:eastAsia="Times New Roman"/>
                      <w:color w:val="000000" w:themeColor="text1"/>
                      <w14:textFill>
                        <w14:solidFill>
                          <w14:schemeClr w14:val="tx1"/>
                        </w14:solidFill>
                      </w14:textFill>
                    </w:rPr>
                  </m:ctrlPr>
                </m:dPr>
                <m:e>
                  <m:sSup>
                    <m:sSupPr>
                      <m:ctrlPr>
                        <w:rPr>
                          <w:rFonts w:ascii="Cambria Math" w:hAnsi="Cambria Math" w:eastAsia="Times New Roman"/>
                          <w:i/>
                          <w:color w:val="000000" w:themeColor="text1"/>
                          <w14:textFill>
                            <w14:solidFill>
                              <w14:schemeClr w14:val="tx1"/>
                            </w14:solidFill>
                          </w14:textFill>
                        </w:rPr>
                      </m:ctrlPr>
                    </m:sSupPr>
                    <m:e>
                      <m:d>
                        <m:dPr>
                          <m:begChr m:val="["/>
                          <m:endChr m:val="]"/>
                          <m:ctrlPr>
                            <w:rPr>
                              <w:rFonts w:ascii="Cambria Math" w:hAnsi="Cambria Math" w:eastAsia="Times New Roman"/>
                              <w:i/>
                              <w:color w:val="000000" w:themeColor="text1"/>
                              <w14:textFill>
                                <w14:solidFill>
                                  <w14:schemeClr w14:val="tx1"/>
                                </w14:solidFill>
                              </w14:textFill>
                            </w:rPr>
                          </m:ctrlPr>
                        </m:dPr>
                        <m:e>
                          <m:nary>
                            <m:naryPr>
                              <m:chr m:val="∏"/>
                              <m:limLoc m:val="undOvr"/>
                              <m:ctrlPr>
                                <w:rPr>
                                  <w:rFonts w:ascii="Cambria Math" w:hAnsi="Cambria Math" w:eastAsia="Times New Roman"/>
                                  <w:i/>
                                  <w:color w:val="000000" w:themeColor="text1"/>
                                  <w14:textFill>
                                    <w14:solidFill>
                                      <w14:schemeClr w14:val="tx1"/>
                                    </w14:solidFill>
                                  </w14:textFill>
                                </w:rPr>
                              </m:ctrlPr>
                            </m:naryPr>
                            <m:sub>
                              <m:r>
                                <m:rPr/>
                                <w:rPr>
                                  <w:rFonts w:ascii="Cambria Math" w:hAnsi="Cambria Math" w:eastAsia="Times New Roman"/>
                                  <w:color w:val="000000" w:themeColor="text1"/>
                                  <w14:textFill>
                                    <w14:solidFill>
                                      <w14:schemeClr w14:val="tx1"/>
                                    </w14:solidFill>
                                  </w14:textFill>
                                </w:rPr>
                                <m:t>i=1</m:t>
                              </m:r>
                              <m:ctrlPr>
                                <w:rPr>
                                  <w:rFonts w:ascii="Cambria Math" w:hAnsi="Cambria Math" w:eastAsia="Times New Roman"/>
                                  <w:i/>
                                  <w:color w:val="000000" w:themeColor="text1"/>
                                  <w14:textFill>
                                    <w14:solidFill>
                                      <w14:schemeClr w14:val="tx1"/>
                                    </w14:solidFill>
                                  </w14:textFill>
                                </w:rPr>
                              </m:ctrlPr>
                            </m:sub>
                            <m:sup>
                              <m:r>
                                <m:rPr/>
                                <w:rPr>
                                  <w:rFonts w:ascii="Cambria Math" w:hAnsi="Cambria Math" w:eastAsia="Times New Roman"/>
                                  <w:color w:val="000000" w:themeColor="text1"/>
                                  <w14:textFill>
                                    <w14:solidFill>
                                      <w14:schemeClr w14:val="tx1"/>
                                    </w14:solidFill>
                                  </w14:textFill>
                                </w:rPr>
                                <m:t>7</m:t>
                              </m:r>
                              <m:ctrlPr>
                                <w:rPr>
                                  <w:rFonts w:ascii="Cambria Math" w:hAnsi="Cambria Math" w:eastAsia="Times New Roman"/>
                                  <w:i/>
                                  <w:color w:val="000000" w:themeColor="text1"/>
                                  <w14:textFill>
                                    <w14:solidFill>
                                      <w14:schemeClr w14:val="tx1"/>
                                    </w14:solidFill>
                                  </w14:textFill>
                                </w:rPr>
                              </m:ctrlPr>
                            </m:sup>
                            <m:e>
                              <m:r>
                                <m:rPr/>
                                <w:rPr>
                                  <w:rFonts w:ascii="Cambria Math" w:hAnsi="Cambria Math" w:eastAsia="Times New Roman"/>
                                  <w:color w:val="000000" w:themeColor="text1"/>
                                  <w14:textFill>
                                    <w14:solidFill>
                                      <w14:schemeClr w14:val="tx1"/>
                                    </w14:solidFill>
                                  </w14:textFill>
                                </w:rPr>
                                <m:t>(1+</m:t>
                              </m:r>
                              <m:f>
                                <m:fPr>
                                  <m:ctrlPr>
                                    <w:rPr>
                                      <w:rFonts w:ascii="Cambria Math" w:hAnsi="Cambria Math" w:eastAsia="Times New Roman"/>
                                      <w:i/>
                                      <w:color w:val="000000" w:themeColor="text1"/>
                                      <w14:textFill>
                                        <w14:solidFill>
                                          <w14:schemeClr w14:val="tx1"/>
                                        </w14:solidFill>
                                      </w14:textFill>
                                    </w:rPr>
                                  </m:ctrlPr>
                                </m:fPr>
                                <m:num>
                                  <m:sSub>
                                    <m:sSubPr>
                                      <m:ctrlPr>
                                        <w:rPr>
                                          <w:rFonts w:ascii="Cambria Math" w:hAnsi="Cambria Math" w:eastAsia="Times New Roman"/>
                                          <w:i/>
                                          <w:color w:val="000000" w:themeColor="text1"/>
                                          <w14:textFill>
                                            <w14:solidFill>
                                              <w14:schemeClr w14:val="tx1"/>
                                            </w14:solidFill>
                                          </w14:textFill>
                                        </w:rPr>
                                      </m:ctrlPr>
                                    </m:sSubPr>
                                    <m:e>
                                      <m:r>
                                        <m:rPr/>
                                        <w:rPr>
                                          <w:rFonts w:ascii="Cambria Math" w:hAnsi="Cambria Math" w:eastAsia="Times New Roman"/>
                                          <w:color w:val="000000" w:themeColor="text1"/>
                                          <w14:textFill>
                                            <w14:solidFill>
                                              <w14:schemeClr w14:val="tx1"/>
                                            </w14:solidFill>
                                          </w14:textFill>
                                        </w:rPr>
                                        <m:t>R</m:t>
                                      </m:r>
                                      <m:ctrlPr>
                                        <w:rPr>
                                          <w:rFonts w:ascii="Cambria Math" w:hAnsi="Cambria Math" w:eastAsia="Times New Roman"/>
                                          <w:i/>
                                          <w:color w:val="000000" w:themeColor="text1"/>
                                          <w14:textFill>
                                            <w14:solidFill>
                                              <w14:schemeClr w14:val="tx1"/>
                                            </w14:solidFill>
                                          </w14:textFill>
                                        </w:rPr>
                                      </m:ctrlPr>
                                    </m:e>
                                    <m:sub>
                                      <m:r>
                                        <m:rPr/>
                                        <w:rPr>
                                          <w:rFonts w:ascii="Cambria Math" w:hAnsi="Cambria Math" w:eastAsia="Times New Roman"/>
                                          <w:color w:val="000000" w:themeColor="text1"/>
                                          <w14:textFill>
                                            <w14:solidFill>
                                              <w14:schemeClr w14:val="tx1"/>
                                            </w14:solidFill>
                                          </w14:textFill>
                                        </w:rPr>
                                        <m:t>i</m:t>
                                      </m:r>
                                      <m:ctrlPr>
                                        <w:rPr>
                                          <w:rFonts w:ascii="Cambria Math" w:hAnsi="Cambria Math" w:eastAsia="Times New Roman"/>
                                          <w:i/>
                                          <w:color w:val="000000" w:themeColor="text1"/>
                                          <w14:textFill>
                                            <w14:solidFill>
                                              <w14:schemeClr w14:val="tx1"/>
                                            </w14:solidFill>
                                          </w14:textFill>
                                        </w:rPr>
                                      </m:ctrlPr>
                                    </m:sub>
                                  </m:sSub>
                                  <m:ctrlPr>
                                    <w:rPr>
                                      <w:rFonts w:ascii="Cambria Math" w:hAnsi="Cambria Math" w:eastAsia="Times New Roman"/>
                                      <w:i/>
                                      <w:color w:val="000000" w:themeColor="text1"/>
                                      <w14:textFill>
                                        <w14:solidFill>
                                          <w14:schemeClr w14:val="tx1"/>
                                        </w14:solidFill>
                                      </w14:textFill>
                                    </w:rPr>
                                  </m:ctrlPr>
                                </m:num>
                                <m:den>
                                  <m:r>
                                    <m:rPr/>
                                    <w:rPr>
                                      <w:rFonts w:ascii="Cambria Math" w:hAnsi="Cambria Math" w:eastAsia="Times New Roman"/>
                                      <w:color w:val="000000" w:themeColor="text1"/>
                                      <w14:textFill>
                                        <w14:solidFill>
                                          <w14:schemeClr w14:val="tx1"/>
                                        </w14:solidFill>
                                      </w14:textFill>
                                    </w:rPr>
                                    <m:t>10000</m:t>
                                  </m:r>
                                  <m:ctrlPr>
                                    <w:rPr>
                                      <w:rFonts w:ascii="Cambria Math" w:hAnsi="Cambria Math" w:eastAsia="Times New Roman"/>
                                      <w:i/>
                                      <w:color w:val="000000" w:themeColor="text1"/>
                                      <w14:textFill>
                                        <w14:solidFill>
                                          <w14:schemeClr w14:val="tx1"/>
                                        </w14:solidFill>
                                      </w14:textFill>
                                    </w:rPr>
                                  </m:ctrlPr>
                                </m:den>
                              </m:f>
                              <m:r>
                                <m:rPr/>
                                <w:rPr>
                                  <w:rFonts w:ascii="Cambria Math" w:hAnsi="Cambria Math" w:eastAsia="Times New Roman"/>
                                  <w:color w:val="000000" w:themeColor="text1"/>
                                  <w14:textFill>
                                    <w14:solidFill>
                                      <w14:schemeClr w14:val="tx1"/>
                                    </w14:solidFill>
                                  </w14:textFill>
                                </w:rPr>
                                <m:t>)</m:t>
                              </m:r>
                              <m:ctrlPr>
                                <w:rPr>
                                  <w:rFonts w:ascii="Cambria Math" w:hAnsi="Cambria Math" w:eastAsia="Times New Roman"/>
                                  <w:i/>
                                  <w:color w:val="000000" w:themeColor="text1"/>
                                  <w14:textFill>
                                    <w14:solidFill>
                                      <w14:schemeClr w14:val="tx1"/>
                                    </w14:solidFill>
                                  </w14:textFill>
                                </w:rPr>
                              </m:ctrlPr>
                            </m:e>
                          </m:nary>
                          <m:ctrlPr>
                            <w:rPr>
                              <w:rFonts w:ascii="Cambria Math" w:hAnsi="Cambria Math" w:eastAsia="Times New Roman"/>
                              <w:i/>
                              <w:color w:val="000000" w:themeColor="text1"/>
                              <w14:textFill>
                                <w14:solidFill>
                                  <w14:schemeClr w14:val="tx1"/>
                                </w14:solidFill>
                              </w14:textFill>
                            </w:rPr>
                          </m:ctrlPr>
                        </m:e>
                      </m:d>
                      <m:ctrlPr>
                        <w:rPr>
                          <w:rFonts w:ascii="Cambria Math" w:hAnsi="Cambria Math" w:eastAsia="Times New Roman"/>
                          <w:i/>
                          <w:color w:val="000000" w:themeColor="text1"/>
                          <w14:textFill>
                            <w14:solidFill>
                              <w14:schemeClr w14:val="tx1"/>
                            </w14:solidFill>
                          </w14:textFill>
                        </w:rPr>
                      </m:ctrlPr>
                    </m:e>
                    <m:sup>
                      <m:f>
                        <m:fPr>
                          <m:ctrlPr>
                            <w:rPr>
                              <w:rFonts w:ascii="Cambria Math" w:hAnsi="Cambria Math" w:eastAsia="Times New Roman"/>
                              <w:i/>
                              <w:color w:val="000000" w:themeColor="text1"/>
                              <w14:textFill>
                                <w14:solidFill>
                                  <w14:schemeClr w14:val="tx1"/>
                                </w14:solidFill>
                              </w14:textFill>
                            </w:rPr>
                          </m:ctrlPr>
                        </m:fPr>
                        <m:num>
                          <m:r>
                            <m:rPr/>
                            <w:rPr>
                              <w:rFonts w:ascii="Cambria Math" w:hAnsi="Cambria Math"/>
                              <w:color w:val="000000" w:themeColor="text1"/>
                              <w14:textFill>
                                <w14:solidFill>
                                  <w14:schemeClr w14:val="tx1"/>
                                </w14:solidFill>
                              </w14:textFill>
                            </w:rPr>
                            <m:t>365</m:t>
                          </m:r>
                          <m:ctrlPr>
                            <w:rPr>
                              <w:rFonts w:ascii="Cambria Math" w:hAnsi="Cambria Math" w:eastAsia="Times New Roman"/>
                              <w:i/>
                              <w:color w:val="000000" w:themeColor="text1"/>
                              <w14:textFill>
                                <w14:solidFill>
                                  <w14:schemeClr w14:val="tx1"/>
                                </w14:solidFill>
                              </w14:textFill>
                            </w:rPr>
                          </m:ctrlPr>
                        </m:num>
                        <m:den>
                          <m:r>
                            <m:rPr/>
                            <w:rPr>
                              <w:rFonts w:ascii="Cambria Math" w:hAnsi="Cambria Math" w:eastAsia="Times New Roman"/>
                              <w:color w:val="000000" w:themeColor="text1"/>
                              <w14:textFill>
                                <w14:solidFill>
                                  <w14:schemeClr w14:val="tx1"/>
                                </w14:solidFill>
                              </w14:textFill>
                            </w:rPr>
                            <m:t>7</m:t>
                          </m:r>
                          <m:ctrlPr>
                            <w:rPr>
                              <w:rFonts w:ascii="Cambria Math" w:hAnsi="Cambria Math" w:eastAsia="Times New Roman"/>
                              <w:i/>
                              <w:color w:val="000000" w:themeColor="text1"/>
                              <w14:textFill>
                                <w14:solidFill>
                                  <w14:schemeClr w14:val="tx1"/>
                                </w14:solidFill>
                              </w14:textFill>
                            </w:rPr>
                          </m:ctrlPr>
                        </m:den>
                      </m:f>
                      <m:ctrlPr>
                        <w:rPr>
                          <w:rFonts w:ascii="Cambria Math" w:hAnsi="Cambria Math" w:eastAsia="Times New Roman"/>
                          <w:i/>
                          <w:color w:val="000000" w:themeColor="text1"/>
                          <w14:textFill>
                            <w14:solidFill>
                              <w14:schemeClr w14:val="tx1"/>
                            </w14:solidFill>
                          </w14:textFill>
                        </w:rPr>
                      </m:ctrlPr>
                    </m:sup>
                  </m:sSup>
                  <m:r>
                    <m:rPr/>
                    <w:rPr>
                      <w:rFonts w:ascii="Cambria Math" w:hAnsi="Cambria Math" w:eastAsia="Times New Roman"/>
                      <w:color w:val="000000" w:themeColor="text1"/>
                      <w14:textFill>
                        <w14:solidFill>
                          <w14:schemeClr w14:val="tx1"/>
                        </w14:solidFill>
                      </w14:textFill>
                    </w:rPr>
                    <m:t>−1</m:t>
                  </m:r>
                  <m:ctrlPr>
                    <w:rPr>
                      <w:rFonts w:ascii="Cambria Math" w:hAnsi="Cambria Math" w:eastAsia="Times New Roman"/>
                      <w:color w:val="000000" w:themeColor="text1"/>
                      <w14:textFill>
                        <w14:solidFill>
                          <w14:schemeClr w14:val="tx1"/>
                        </w14:solidFill>
                      </w14:textFill>
                    </w:rPr>
                  </m:ctrlPr>
                </m:e>
              </m:d>
              <m:r>
                <m:rPr/>
                <w:rPr>
                  <w:rFonts w:ascii="Cambria Math" w:hAnsi="Cambria Math" w:eastAsia="Times New Roman"/>
                  <w:color w:val="000000" w:themeColor="text1"/>
                  <w14:textFill>
                    <w14:solidFill>
                      <w14:schemeClr w14:val="tx1"/>
                    </w14:solidFill>
                  </w14:textFill>
                </w:rPr>
                <m:t>×100%</m:t>
              </m:r>
            </m:oMath>
          </w:p>
          <w:p>
            <w:pPr>
              <w:autoSpaceDE w:val="0"/>
              <w:autoSpaceDN w:val="0"/>
              <w:adjustRightInd w:val="0"/>
              <w:jc w:val="left"/>
              <w:rPr>
                <w:rFonts w:hint="eastAsia" w:ascii="黑体" w:hAnsi="黑体" w:eastAsia="黑体" w:cs="宋体"/>
                <w:kern w:val="0"/>
                <w:szCs w:val="21"/>
              </w:rPr>
            </w:pPr>
            <w:r>
              <w:rPr>
                <w:rFonts w:hint="eastAsia" w:ascii="黑体" w:hAnsi="黑体" w:eastAsia="黑体" w:cs="黑体"/>
                <w:color w:val="000000" w:themeColor="text1"/>
                <w14:textFill>
                  <w14:solidFill>
                    <w14:schemeClr w14:val="tx1"/>
                  </w14:solidFill>
                </w14:textFill>
              </w:rPr>
              <w:t>其中，</w:t>
            </w:r>
            <m:oMath>
              <m:sSub>
                <m:sSubPr>
                  <m:ctrlPr>
                    <w:rPr>
                      <w:rFonts w:ascii="Cambria Math" w:hAnsi="Cambria Math" w:eastAsia="Times New Roman"/>
                      <w:i/>
                      <w:color w:val="000000" w:themeColor="text1"/>
                      <w14:textFill>
                        <w14:solidFill>
                          <w14:schemeClr w14:val="tx1"/>
                        </w14:solidFill>
                      </w14:textFill>
                    </w:rPr>
                  </m:ctrlPr>
                </m:sSubPr>
                <m:e>
                  <m:r>
                    <m:rPr/>
                    <w:rPr>
                      <w:rFonts w:ascii="Cambria Math" w:hAnsi="Cambria Math" w:eastAsia="Times New Roman"/>
                      <w:color w:val="000000" w:themeColor="text1"/>
                      <w14:textFill>
                        <w14:solidFill>
                          <w14:schemeClr w14:val="tx1"/>
                        </w14:solidFill>
                      </w14:textFill>
                    </w:rPr>
                    <m:t>R</m:t>
                  </m:r>
                  <m:ctrlPr>
                    <w:rPr>
                      <w:rFonts w:ascii="Cambria Math" w:hAnsi="Cambria Math" w:eastAsia="Times New Roman"/>
                      <w:i/>
                      <w:color w:val="000000" w:themeColor="text1"/>
                      <w14:textFill>
                        <w14:solidFill>
                          <w14:schemeClr w14:val="tx1"/>
                        </w14:solidFill>
                      </w14:textFill>
                    </w:rPr>
                  </m:ctrlPr>
                </m:e>
                <m:sub>
                  <m:r>
                    <m:rPr/>
                    <w:rPr>
                      <w:rFonts w:ascii="Cambria Math" w:hAnsi="Cambria Math" w:eastAsia="Times New Roman"/>
                      <w:color w:val="000000" w:themeColor="text1"/>
                      <w14:textFill>
                        <w14:solidFill>
                          <w14:schemeClr w14:val="tx1"/>
                        </w14:solidFill>
                      </w14:textFill>
                    </w:rPr>
                    <m:t>i</m:t>
                  </m:r>
                  <m:ctrlPr>
                    <w:rPr>
                      <w:rFonts w:ascii="Cambria Math" w:hAnsi="Cambria Math" w:eastAsia="Times New Roman"/>
                      <w:i/>
                      <w:color w:val="000000" w:themeColor="text1"/>
                      <w14:textFill>
                        <w14:solidFill>
                          <w14:schemeClr w14:val="tx1"/>
                        </w14:solidFill>
                      </w14:textFill>
                    </w:rPr>
                  </m:ctrlPr>
                </m:sub>
              </m:sSub>
            </m:oMath>
            <w:r>
              <w:rPr>
                <w:rFonts w:hint="eastAsia" w:ascii="黑体" w:hAnsi="黑体" w:eastAsia="黑体" w:cs="黑体"/>
                <w:color w:val="000000" w:themeColor="text1"/>
                <w14:textFill>
                  <w14:solidFill>
                    <w14:schemeClr w14:val="tx1"/>
                  </w14:solidFill>
                </w14:textFill>
              </w:rPr>
              <w:t>为最近第</w:t>
            </w:r>
            <w:r>
              <w:rPr>
                <w:rFonts w:ascii="黑体" w:hAnsi="黑体" w:eastAsia="黑体" w:cs="黑体"/>
                <w:color w:val="000000" w:themeColor="text1"/>
                <w14:textFill>
                  <w14:solidFill>
                    <w14:schemeClr w14:val="tx1"/>
                  </w14:solidFill>
                </w14:textFill>
              </w:rPr>
              <w:t>i个</w:t>
            </w:r>
            <w:r>
              <w:rPr>
                <w:rFonts w:hint="eastAsia" w:ascii="黑体" w:hAnsi="黑体" w:eastAsia="黑体" w:cs="黑体"/>
                <w:color w:val="000000" w:themeColor="text1"/>
                <w14:textFill>
                  <w14:solidFill>
                    <w14:schemeClr w14:val="tx1"/>
                  </w14:solidFill>
                </w14:textFill>
              </w:rPr>
              <w:t>自然日的每万份产品净收益，</w:t>
            </w:r>
            <w:r>
              <w:rPr>
                <w:rFonts w:hint="eastAsia" w:ascii="黑体" w:hAnsi="黑体" w:eastAsia="黑体" w:cs="黑体"/>
                <w:color w:val="000000" w:themeColor="text1"/>
                <w:kern w:val="0"/>
                <w:szCs w:val="21"/>
                <w14:textFill>
                  <w14:solidFill>
                    <w14:schemeClr w14:val="tx1"/>
                  </w14:solidFill>
                </w14:textFill>
              </w:rPr>
              <w:t>七日年化收益率的计算按照四舍五入原则，精确至小数点后</w:t>
            </w:r>
            <w:r>
              <w:rPr>
                <w:rFonts w:ascii="黑体" w:hAnsi="黑体" w:eastAsia="黑体" w:cs="黑体"/>
                <w:color w:val="000000" w:themeColor="text1"/>
                <w:kern w:val="0"/>
                <w:szCs w:val="21"/>
                <w14:textFill>
                  <w14:solidFill>
                    <w14:schemeClr w14:val="tx1"/>
                  </w14:solidFill>
                </w14:textFill>
              </w:rPr>
              <w:t>4</w:t>
            </w:r>
            <w:r>
              <w:rPr>
                <w:rFonts w:hint="eastAsia" w:ascii="黑体" w:hAnsi="黑体" w:eastAsia="黑体" w:cs="黑体"/>
                <w:color w:val="000000" w:themeColor="text1"/>
                <w:kern w:val="0"/>
                <w:szCs w:val="21"/>
                <w14:textFill>
                  <w14:solidFill>
                    <w14:schemeClr w14:val="tx1"/>
                  </w14:solidFill>
                </w14:textFill>
              </w:rPr>
              <w:t>位（实际展示以销售机构为准）。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最低成立规模</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vAlign w:val="center"/>
          </w:tcPr>
          <w:p>
            <w:pPr>
              <w:autoSpaceDE w:val="0"/>
              <w:autoSpaceDN w:val="0"/>
              <w:adjustRightInd w:val="0"/>
              <w:rPr>
                <w:rFonts w:hint="eastAsia" w:ascii="黑体" w:hAnsi="黑体" w:eastAsia="黑体" w:cs="黑体"/>
                <w:kern w:val="0"/>
                <w:szCs w:val="21"/>
              </w:rPr>
            </w:pPr>
            <w:r>
              <w:rPr>
                <w:rFonts w:ascii="黑体" w:hAnsi="黑体" w:eastAsia="黑体" w:cs="黑体"/>
                <w:kern w:val="0"/>
                <w:szCs w:val="21"/>
              </w:rPr>
              <w:t>产品规模上限</w:t>
            </w:r>
          </w:p>
        </w:tc>
        <w:tc>
          <w:tcPr>
            <w:tcW w:w="6458" w:type="dxa"/>
          </w:tcPr>
          <w:p>
            <w:pPr>
              <w:autoSpaceDE w:val="0"/>
              <w:autoSpaceDN w:val="0"/>
              <w:adjustRightInd w:val="0"/>
              <w:jc w:val="left"/>
              <w:rPr>
                <w:rFonts w:hint="eastAsia" w:ascii="黑体" w:hAnsi="黑体" w:eastAsia="黑体" w:cs="黑体"/>
                <w:b/>
                <w:kern w:val="0"/>
                <w:szCs w:val="21"/>
                <w:u w:val="single"/>
              </w:rPr>
            </w:pPr>
            <w:r>
              <w:rPr>
                <w:rFonts w:hint="eastAsia" w:ascii="黑体" w:hAnsi="黑体" w:eastAsia="黑体" w:cs="黑体"/>
                <w:b/>
                <w:kern w:val="0"/>
                <w:szCs w:val="21"/>
              </w:rPr>
              <w:t>产品募集期规模</w:t>
            </w:r>
            <w:r>
              <w:rPr>
                <w:rFonts w:ascii="黑体" w:hAnsi="黑体" w:eastAsia="黑体" w:cs="黑体"/>
                <w:b/>
                <w:kern w:val="0"/>
                <w:szCs w:val="21"/>
              </w:rPr>
              <w:t>上限为</w:t>
            </w:r>
            <w:r>
              <w:rPr>
                <w:rFonts w:hint="eastAsia" w:ascii="黑体" w:hAnsi="黑体" w:eastAsia="黑体" w:cs="黑体"/>
                <w:b/>
                <w:kern w:val="0"/>
                <w:szCs w:val="21"/>
              </w:rPr>
              <w:t>1</w:t>
            </w:r>
            <w:r>
              <w:rPr>
                <w:rFonts w:ascii="黑体" w:hAnsi="黑体" w:eastAsia="黑体" w:cs="黑体"/>
                <w:b/>
                <w:kern w:val="0"/>
                <w:szCs w:val="21"/>
              </w:rPr>
              <w:t>0</w:t>
            </w:r>
            <w:r>
              <w:rPr>
                <w:rFonts w:hint="eastAsia" w:ascii="黑体" w:hAnsi="黑体" w:eastAsia="黑体" w:cs="黑体"/>
                <w:b/>
                <w:kern w:val="0"/>
                <w:szCs w:val="21"/>
              </w:rPr>
              <w:t>亿元</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若募集期产品认购金额达到产品规模上限，则产品管理人有权停止产品的认购交易。</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产品管理人有权根据产品实际运作情况调整产品存续期间的规模上限，具体以产品销售机构显示为准。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首次</w:t>
            </w:r>
            <w:r>
              <w:rPr>
                <w:rFonts w:ascii="黑体" w:hAnsi="黑体" w:eastAsia="黑体" w:cs="黑体"/>
                <w:kern w:val="0"/>
                <w:szCs w:val="21"/>
              </w:rPr>
              <w:t>购买起点金额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0.01元起售</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（销售机构可以不低于上述标准设置起购金额，投资者购买本理财产品时以该销售机构最终要求为准）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追加购买</w:t>
            </w:r>
            <w:r>
              <w:rPr>
                <w:rFonts w:ascii="黑体" w:hAnsi="黑体" w:eastAsia="黑体" w:cs="黑体"/>
                <w:kern w:val="0"/>
                <w:szCs w:val="21"/>
              </w:rPr>
              <w:t>金额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追加金额以0</w:t>
            </w:r>
            <w:r>
              <w:rPr>
                <w:rFonts w:ascii="黑体" w:hAnsi="黑体" w:eastAsia="黑体" w:cs="黑体"/>
                <w:kern w:val="0"/>
                <w:szCs w:val="21"/>
              </w:rPr>
              <w:t>.0</w:t>
            </w:r>
            <w:r>
              <w:rPr>
                <w:rFonts w:hint="eastAsia" w:ascii="黑体" w:hAnsi="黑体" w:eastAsia="黑体" w:cs="黑体"/>
                <w:kern w:val="0"/>
                <w:szCs w:val="21"/>
              </w:rPr>
              <w:t>1元整数倍增加，追加购买金额中不足0</w:t>
            </w:r>
            <w:r>
              <w:rPr>
                <w:rFonts w:ascii="黑体" w:hAnsi="黑体" w:eastAsia="黑体" w:cs="黑体"/>
                <w:kern w:val="0"/>
                <w:szCs w:val="21"/>
              </w:rPr>
              <w:t>.0</w:t>
            </w:r>
            <w:r>
              <w:rPr>
                <w:rFonts w:hint="eastAsia" w:ascii="黑体" w:hAnsi="黑体" w:eastAsia="黑体" w:cs="黑体"/>
                <w:kern w:val="0"/>
                <w:szCs w:val="21"/>
              </w:rPr>
              <w:t>1元的部分，产品管理人有权不确认</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（销售机构可以不低于上述标准设置追加购买金额，投资者购买本理财产品时以该销售机构最终要求为准）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最低</w:t>
            </w:r>
            <w:r>
              <w:rPr>
                <w:rFonts w:ascii="黑体" w:hAnsi="黑体" w:eastAsia="黑体" w:cs="黑体"/>
                <w:kern w:val="0"/>
                <w:szCs w:val="21"/>
              </w:rPr>
              <w:t>赎回起点份额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0.01份（具体以销售机构的规则为准）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追加</w:t>
            </w:r>
            <w:r>
              <w:rPr>
                <w:rFonts w:ascii="黑体" w:hAnsi="黑体" w:eastAsia="黑体" w:cs="黑体"/>
                <w:kern w:val="0"/>
                <w:szCs w:val="21"/>
              </w:rPr>
              <w:t>赎回份额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0.01份（具体以销售机构的规则为准）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单日单户申赎限额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1、</w:t>
            </w:r>
            <w:r>
              <w:rPr>
                <w:rFonts w:ascii="黑体" w:hAnsi="黑体" w:eastAsia="黑体" w:cs="黑体"/>
                <w:b/>
                <w:kern w:val="0"/>
                <w:szCs w:val="21"/>
              </w:rPr>
              <w:t>单个投资者对本产品单个开放日的申购</w:t>
            </w:r>
            <w:r>
              <w:rPr>
                <w:rFonts w:hint="eastAsia" w:ascii="黑体" w:hAnsi="黑体" w:eastAsia="黑体" w:cs="黑体"/>
                <w:b/>
                <w:kern w:val="0"/>
                <w:szCs w:val="21"/>
              </w:rPr>
              <w:t>金额</w:t>
            </w:r>
            <w:r>
              <w:rPr>
                <w:rFonts w:ascii="黑体" w:hAnsi="黑体" w:eastAsia="黑体" w:cs="黑体"/>
                <w:b/>
                <w:kern w:val="0"/>
                <w:szCs w:val="21"/>
              </w:rPr>
              <w:t>上限为</w:t>
            </w:r>
            <w:r>
              <w:rPr>
                <w:rFonts w:hint="eastAsia" w:ascii="黑体" w:hAnsi="黑体" w:eastAsia="黑体" w:cs="黑体"/>
                <w:b/>
                <w:bCs/>
                <w:kern w:val="0"/>
                <w:szCs w:val="21"/>
              </w:rPr>
              <w:t>无上限</w:t>
            </w:r>
            <w:r>
              <w:rPr>
                <w:rFonts w:hint="eastAsia" w:ascii="黑体" w:hAnsi="黑体" w:eastAsia="黑体" w:cs="黑体"/>
                <w:b/>
                <w:kern w:val="0"/>
                <w:szCs w:val="21"/>
              </w:rPr>
              <w:t>；</w:t>
            </w:r>
            <w:r>
              <w:rPr>
                <w:rFonts w:hint="eastAsia" w:ascii="黑体" w:hAnsi="黑体" w:eastAsia="黑体" w:cs="黑体"/>
                <w:kern w:val="0"/>
                <w:szCs w:val="21"/>
              </w:rPr>
              <w:t>若单个投资者在单个开放日对本产品的申购金额达到上限的，产品管理人有权不再继续接受其申购；</w:t>
            </w:r>
          </w:p>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2、</w:t>
            </w:r>
            <w:r>
              <w:rPr>
                <w:rFonts w:ascii="黑体" w:hAnsi="黑体" w:eastAsia="黑体" w:cs="黑体"/>
                <w:b/>
                <w:kern w:val="0"/>
                <w:szCs w:val="21"/>
              </w:rPr>
              <w:t>单个投资者对本产品单个开放日的赎回</w:t>
            </w:r>
            <w:r>
              <w:rPr>
                <w:rFonts w:hint="eastAsia" w:ascii="黑体" w:hAnsi="黑体" w:eastAsia="黑体" w:cs="黑体"/>
                <w:b/>
                <w:kern w:val="0"/>
                <w:szCs w:val="21"/>
              </w:rPr>
              <w:t>份额</w:t>
            </w:r>
            <w:r>
              <w:rPr>
                <w:rFonts w:ascii="黑体" w:hAnsi="黑体" w:eastAsia="黑体" w:cs="黑体"/>
                <w:b/>
                <w:kern w:val="0"/>
                <w:szCs w:val="21"/>
              </w:rPr>
              <w:t>上限为</w:t>
            </w:r>
            <w:r>
              <w:rPr>
                <w:rFonts w:hint="eastAsia" w:ascii="黑体" w:hAnsi="黑体" w:eastAsia="黑体" w:cs="黑体"/>
                <w:b/>
                <w:bCs/>
                <w:kern w:val="0"/>
                <w:szCs w:val="21"/>
              </w:rPr>
              <w:t>无上限</w:t>
            </w:r>
            <w:r>
              <w:rPr>
                <w:rFonts w:hint="eastAsia" w:ascii="黑体" w:hAnsi="黑体" w:eastAsia="黑体" w:cs="黑体"/>
                <w:b/>
                <w:kern w:val="0"/>
                <w:szCs w:val="21"/>
              </w:rPr>
              <w:t>；</w:t>
            </w:r>
            <w:r>
              <w:rPr>
                <w:rFonts w:hint="eastAsia" w:ascii="黑体" w:hAnsi="黑体" w:eastAsia="黑体" w:cs="黑体"/>
                <w:kern w:val="0"/>
                <w:szCs w:val="21"/>
              </w:rPr>
              <w:t>若单个投资者在单个开放日对本产品的赎回份额达到上限的，产品管理人有权不再继续接受其赎回。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单户</w:t>
            </w:r>
            <w:r>
              <w:rPr>
                <w:rFonts w:ascii="黑体" w:hAnsi="黑体" w:eastAsia="黑体" w:cs="黑体"/>
                <w:kern w:val="0"/>
                <w:szCs w:val="21"/>
              </w:rPr>
              <w:t>限额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color w:val="000000" w:themeColor="text1"/>
                <w:kern w:val="0"/>
                <w:szCs w:val="21"/>
                <w14:textFill>
                  <w14:solidFill>
                    <w14:schemeClr w14:val="tx1"/>
                  </w14:solidFill>
                </w14:textFill>
              </w:rPr>
              <w:t>1、</w:t>
            </w:r>
            <w:r>
              <w:rPr>
                <w:rFonts w:ascii="黑体" w:hAnsi="黑体" w:eastAsia="黑体" w:cs="黑体"/>
                <w:b/>
                <w:color w:val="000000" w:themeColor="text1"/>
                <w:kern w:val="0"/>
                <w:szCs w:val="21"/>
                <w14:textFill>
                  <w14:solidFill>
                    <w14:schemeClr w14:val="tx1"/>
                  </w14:solidFill>
                </w14:textFill>
              </w:rPr>
              <w:t>单</w:t>
            </w:r>
            <w:r>
              <w:rPr>
                <w:rFonts w:hint="eastAsia" w:ascii="黑体" w:hAnsi="黑体" w:eastAsia="黑体" w:cs="黑体"/>
                <w:b/>
                <w:color w:val="000000" w:themeColor="text1"/>
                <w:kern w:val="0"/>
                <w:szCs w:val="21"/>
                <w14:textFill>
                  <w14:solidFill>
                    <w14:schemeClr w14:val="tx1"/>
                  </w14:solidFill>
                </w14:textFill>
              </w:rPr>
              <w:t>个</w:t>
            </w:r>
            <w:r>
              <w:rPr>
                <w:rFonts w:ascii="黑体" w:hAnsi="黑体" w:eastAsia="黑体" w:cs="黑体"/>
                <w:b/>
                <w:color w:val="000000" w:themeColor="text1"/>
                <w:kern w:val="0"/>
                <w:szCs w:val="21"/>
                <w14:textFill>
                  <w14:solidFill>
                    <w14:schemeClr w14:val="tx1"/>
                  </w14:solidFill>
                </w14:textFill>
              </w:rPr>
              <w:t>投资者</w:t>
            </w:r>
            <w:r>
              <w:rPr>
                <w:rFonts w:hint="eastAsia" w:ascii="黑体" w:hAnsi="黑体" w:eastAsia="黑体" w:cs="黑体"/>
                <w:b/>
                <w:color w:val="000000" w:themeColor="text1"/>
                <w:kern w:val="0"/>
                <w:szCs w:val="21"/>
                <w14:textFill>
                  <w14:solidFill>
                    <w14:schemeClr w14:val="tx1"/>
                  </w14:solidFill>
                </w14:textFill>
              </w:rPr>
              <w:t>对</w:t>
            </w:r>
            <w:r>
              <w:rPr>
                <w:rFonts w:ascii="黑体" w:hAnsi="黑体" w:eastAsia="黑体" w:cs="黑体"/>
                <w:b/>
                <w:color w:val="000000" w:themeColor="text1"/>
                <w:kern w:val="0"/>
                <w:szCs w:val="21"/>
                <w14:textFill>
                  <w14:solidFill>
                    <w14:schemeClr w14:val="tx1"/>
                  </w14:solidFill>
                </w14:textFill>
              </w:rPr>
              <w:t>本产品</w:t>
            </w:r>
            <w:r>
              <w:rPr>
                <w:rFonts w:hint="eastAsia" w:ascii="黑体" w:hAnsi="黑体" w:eastAsia="黑体" w:cs="黑体"/>
                <w:b/>
                <w:color w:val="000000" w:themeColor="text1"/>
                <w:kern w:val="0"/>
                <w:szCs w:val="21"/>
                <w14:textFill>
                  <w14:solidFill>
                    <w14:schemeClr w14:val="tx1"/>
                  </w14:solidFill>
                </w14:textFill>
              </w:rPr>
              <w:t>持有</w:t>
            </w:r>
            <w:r>
              <w:rPr>
                <w:rFonts w:ascii="黑体" w:hAnsi="黑体" w:eastAsia="黑体" w:cs="黑体"/>
                <w:b/>
                <w:color w:val="000000" w:themeColor="text1"/>
                <w:kern w:val="0"/>
                <w:szCs w:val="21"/>
                <w14:textFill>
                  <w14:solidFill>
                    <w14:schemeClr w14:val="tx1"/>
                  </w14:solidFill>
                </w14:textFill>
              </w:rPr>
              <w:t>金额上限为</w:t>
            </w:r>
            <w:r>
              <w:rPr>
                <w:rFonts w:hint="eastAsia" w:ascii="黑体" w:hAnsi="黑体" w:eastAsia="黑体" w:cs="黑体"/>
                <w:b/>
                <w:bCs/>
                <w:color w:val="000000" w:themeColor="text1"/>
                <w:kern w:val="0"/>
                <w:szCs w:val="21"/>
                <w14:textFill>
                  <w14:solidFill>
                    <w14:schemeClr w14:val="tx1"/>
                  </w14:solidFill>
                </w14:textFill>
              </w:rPr>
              <w:t>50</w:t>
            </w:r>
            <w:r>
              <w:rPr>
                <w:rFonts w:ascii="黑体" w:hAnsi="黑体" w:eastAsia="黑体" w:cs="黑体"/>
                <w:b/>
                <w:bCs/>
                <w:color w:val="000000" w:themeColor="text1"/>
                <w:kern w:val="0"/>
                <w:szCs w:val="21"/>
                <w14:textFill>
                  <w14:solidFill>
                    <w14:schemeClr w14:val="tx1"/>
                  </w14:solidFill>
                </w14:textFill>
              </w:rPr>
              <w:t>00</w:t>
            </w:r>
            <w:r>
              <w:rPr>
                <w:rFonts w:hint="eastAsia" w:ascii="黑体" w:hAnsi="黑体" w:eastAsia="黑体" w:cs="黑体"/>
                <w:b/>
                <w:bCs/>
                <w:color w:val="000000" w:themeColor="text1"/>
                <w:kern w:val="0"/>
                <w:szCs w:val="21"/>
                <w14:textFill>
                  <w14:solidFill>
                    <w14:schemeClr w14:val="tx1"/>
                  </w14:solidFill>
                </w14:textFill>
              </w:rPr>
              <w:t>万</w:t>
            </w:r>
            <w:r>
              <w:rPr>
                <w:rFonts w:ascii="黑体" w:hAnsi="黑体" w:eastAsia="黑体" w:cs="黑体"/>
                <w:b/>
                <w:bCs/>
                <w:color w:val="000000" w:themeColor="text1"/>
                <w:kern w:val="0"/>
                <w:szCs w:val="21"/>
                <w14:textFill>
                  <w14:solidFill>
                    <w14:schemeClr w14:val="tx1"/>
                  </w14:solidFill>
                </w14:textFill>
              </w:rPr>
              <w:t>元</w:t>
            </w:r>
            <w:r>
              <w:rPr>
                <w:rFonts w:hint="eastAsia" w:ascii="黑体" w:hAnsi="黑体" w:eastAsia="黑体" w:cs="黑体"/>
                <w:b/>
                <w:color w:val="000000" w:themeColor="text1"/>
                <w:kern w:val="0"/>
                <w:szCs w:val="21"/>
                <w14:textFill>
                  <w14:solidFill>
                    <w14:schemeClr w14:val="tx1"/>
                  </w14:solidFill>
                </w14:textFill>
              </w:rPr>
              <w:t>；</w:t>
            </w:r>
            <w:r>
              <w:rPr>
                <w:rFonts w:hint="eastAsia" w:ascii="黑体" w:hAnsi="黑体" w:eastAsia="黑体" w:cs="黑体"/>
                <w:kern w:val="0"/>
                <w:szCs w:val="21"/>
              </w:rPr>
              <w:t>若</w:t>
            </w:r>
            <w:r>
              <w:rPr>
                <w:rFonts w:ascii="黑体" w:hAnsi="黑体" w:eastAsia="黑体" w:cs="黑体"/>
                <w:kern w:val="0"/>
                <w:szCs w:val="21"/>
              </w:rPr>
              <w:t>单个投资者</w:t>
            </w:r>
            <w:r>
              <w:rPr>
                <w:rFonts w:hint="eastAsia" w:ascii="黑体" w:hAnsi="黑体" w:eastAsia="黑体" w:cs="黑体"/>
                <w:kern w:val="0"/>
                <w:szCs w:val="21"/>
              </w:rPr>
              <w:t>对</w:t>
            </w:r>
            <w:r>
              <w:rPr>
                <w:rFonts w:ascii="黑体" w:hAnsi="黑体" w:eastAsia="黑体" w:cs="黑体"/>
                <w:kern w:val="0"/>
                <w:szCs w:val="21"/>
              </w:rPr>
              <w:t>本产品</w:t>
            </w:r>
            <w:r>
              <w:rPr>
                <w:rFonts w:hint="eastAsia" w:ascii="黑体" w:hAnsi="黑体" w:eastAsia="黑体" w:cs="黑体"/>
                <w:kern w:val="0"/>
                <w:szCs w:val="21"/>
              </w:rPr>
              <w:t>持有金额</w:t>
            </w:r>
            <w:r>
              <w:rPr>
                <w:rFonts w:ascii="黑体" w:hAnsi="黑体" w:eastAsia="黑体" w:cs="黑体"/>
                <w:kern w:val="0"/>
                <w:szCs w:val="21"/>
              </w:rPr>
              <w:t>达到上限的，</w:t>
            </w: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有权</w:t>
            </w:r>
            <w:r>
              <w:rPr>
                <w:rFonts w:ascii="黑体" w:hAnsi="黑体" w:eastAsia="黑体" w:cs="黑体"/>
                <w:kern w:val="0"/>
                <w:szCs w:val="21"/>
              </w:rPr>
              <w:t>不再继续</w:t>
            </w:r>
            <w:r>
              <w:rPr>
                <w:rFonts w:hint="eastAsia" w:ascii="黑体" w:hAnsi="黑体" w:eastAsia="黑体" w:cs="黑体"/>
                <w:kern w:val="0"/>
                <w:szCs w:val="21"/>
              </w:rPr>
              <w:t>接受其</w:t>
            </w:r>
            <w:r>
              <w:rPr>
                <w:rFonts w:ascii="黑体" w:hAnsi="黑体" w:eastAsia="黑体" w:cs="黑体"/>
                <w:kern w:val="0"/>
                <w:szCs w:val="21"/>
              </w:rPr>
              <w:t>认</w:t>
            </w:r>
            <w:r>
              <w:rPr>
                <w:rFonts w:hint="eastAsia" w:ascii="黑体" w:hAnsi="黑体" w:eastAsia="黑体" w:cs="黑体"/>
                <w:kern w:val="0"/>
                <w:szCs w:val="21"/>
              </w:rPr>
              <w:t>（申）购；若单个投资者对本产品持有金额达到上限以后仍有认 (申)购需求的，可咨询本产品销售机构各营业网点或通过电话方式咨询其客服热线，产品管理人将审慎分析评估其认 (申)购申请，当继续接受其认 (申)购可能对理财产品存量投资者利益构成重大不利影响时，或者基于投资运作与风险控制需要，产品管理人有权不再继续接受其认 (申)购。</w:t>
            </w:r>
          </w:p>
          <w:p>
            <w:pPr>
              <w:autoSpaceDE w:val="0"/>
              <w:autoSpaceDN w:val="0"/>
              <w:adjustRightInd w:val="0"/>
              <w:jc w:val="left"/>
              <w:rPr>
                <w:rFonts w:hint="eastAsia" w:ascii="黑体" w:hAnsi="黑体"/>
                <w:kern w:val="0"/>
              </w:rPr>
            </w:pPr>
            <w:r>
              <w:rPr>
                <w:rFonts w:hint="eastAsia" w:ascii="黑体" w:hAnsi="黑体" w:eastAsia="黑体" w:cs="黑体"/>
                <w:kern w:val="0"/>
                <w:szCs w:val="21"/>
              </w:rPr>
              <w:t>非因产品管理人主观因素导致</w:t>
            </w:r>
            <w:r>
              <w:rPr>
                <w:rFonts w:ascii="黑体" w:hAnsi="黑体" w:eastAsia="黑体" w:cs="黑体"/>
                <w:kern w:val="0"/>
                <w:szCs w:val="21"/>
              </w:rPr>
              <w:t>单</w:t>
            </w:r>
            <w:r>
              <w:rPr>
                <w:rFonts w:hint="eastAsia" w:ascii="黑体" w:hAnsi="黑体" w:eastAsia="黑体" w:cs="黑体"/>
                <w:kern w:val="0"/>
                <w:szCs w:val="21"/>
              </w:rPr>
              <w:t>一</w:t>
            </w:r>
            <w:r>
              <w:rPr>
                <w:rFonts w:ascii="黑体" w:hAnsi="黑体" w:eastAsia="黑体" w:cs="黑体"/>
                <w:kern w:val="0"/>
                <w:szCs w:val="21"/>
              </w:rPr>
              <w:t>投资者持有份额比例超过</w:t>
            </w:r>
            <w:r>
              <w:rPr>
                <w:rFonts w:hint="eastAsia" w:ascii="黑体" w:hAnsi="黑体" w:eastAsia="黑体" w:cs="黑体"/>
                <w:kern w:val="0"/>
                <w:szCs w:val="21"/>
              </w:rPr>
              <w:t>总份额</w:t>
            </w:r>
            <w:r>
              <w:rPr>
                <w:rFonts w:ascii="黑体" w:hAnsi="黑体" w:eastAsia="黑体" w:cs="黑体"/>
                <w:kern w:val="0"/>
                <w:szCs w:val="21"/>
              </w:rPr>
              <w:t>的50%</w:t>
            </w:r>
            <w:r>
              <w:rPr>
                <w:rFonts w:hint="eastAsia" w:ascii="黑体" w:hAnsi="黑体" w:eastAsia="黑体" w:cs="黑体"/>
                <w:kern w:val="0"/>
                <w:szCs w:val="21"/>
              </w:rPr>
              <w:t>（含</w:t>
            </w:r>
            <w:r>
              <w:rPr>
                <w:rFonts w:ascii="黑体" w:hAnsi="黑体" w:eastAsia="黑体" w:cs="黑体"/>
                <w:kern w:val="0"/>
                <w:szCs w:val="21"/>
              </w:rPr>
              <w:t>）时，</w:t>
            </w: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将暂停接受</w:t>
            </w:r>
            <w:r>
              <w:rPr>
                <w:rFonts w:ascii="黑体" w:hAnsi="黑体" w:eastAsia="黑体" w:cs="黑体"/>
                <w:kern w:val="0"/>
                <w:szCs w:val="21"/>
              </w:rPr>
              <w:t>其</w:t>
            </w:r>
            <w:r>
              <w:rPr>
                <w:rFonts w:hint="eastAsia" w:ascii="黑体" w:hAnsi="黑体" w:eastAsia="黑体" w:cs="黑体"/>
                <w:kern w:val="0"/>
                <w:szCs w:val="21"/>
              </w:rPr>
              <w:t>认（</w:t>
            </w:r>
            <w:r>
              <w:rPr>
                <w:rFonts w:ascii="黑体" w:hAnsi="黑体" w:eastAsia="黑体" w:cs="黑体"/>
                <w:kern w:val="0"/>
                <w:szCs w:val="21"/>
              </w:rPr>
              <w:t>申</w:t>
            </w:r>
            <w:r>
              <w:rPr>
                <w:rFonts w:hint="eastAsia" w:ascii="黑体" w:hAnsi="黑体" w:eastAsia="黑体" w:cs="黑体"/>
                <w:kern w:val="0"/>
                <w:szCs w:val="21"/>
              </w:rPr>
              <w:t>）</w:t>
            </w:r>
            <w:r>
              <w:rPr>
                <w:rFonts w:ascii="黑体" w:hAnsi="黑体" w:eastAsia="黑体" w:cs="黑体"/>
                <w:kern w:val="0"/>
                <w:szCs w:val="21"/>
              </w:rPr>
              <w:t>购申请</w:t>
            </w:r>
            <w:r>
              <w:rPr>
                <w:rFonts w:ascii="黑体" w:hAnsi="黑体"/>
                <w:kern w:val="0"/>
              </w:rPr>
              <w:t>。</w:t>
            </w:r>
          </w:p>
          <w:p>
            <w:pPr>
              <w:rPr>
                <w:rFonts w:hint="eastAsia" w:ascii="黑体" w:hAnsi="黑体" w:eastAsia="黑体"/>
                <w:szCs w:val="21"/>
              </w:rPr>
            </w:pPr>
            <w:r>
              <w:rPr>
                <w:rFonts w:ascii="黑体" w:hAnsi="黑体" w:eastAsia="黑体" w:cs="黑体"/>
                <w:kern w:val="0"/>
                <w:szCs w:val="21"/>
              </w:rPr>
              <w:t>2</w:t>
            </w:r>
            <w:r>
              <w:rPr>
                <w:rFonts w:hint="eastAsia" w:ascii="黑体" w:hAnsi="黑体" w:eastAsia="黑体" w:cs="黑体"/>
                <w:kern w:val="0"/>
                <w:szCs w:val="21"/>
              </w:rPr>
              <w:t>、</w:t>
            </w:r>
            <w:r>
              <w:rPr>
                <w:rFonts w:hint="eastAsia" w:ascii="黑体" w:hAnsi="黑体" w:eastAsia="黑体" w:cs="黑体"/>
                <w:b/>
                <w:kern w:val="0"/>
                <w:szCs w:val="21"/>
              </w:rPr>
              <w:t>单个投资者对本产品</w:t>
            </w:r>
            <w:r>
              <w:rPr>
                <w:rFonts w:ascii="黑体" w:hAnsi="黑体" w:eastAsia="黑体" w:cs="黑体"/>
                <w:b/>
                <w:kern w:val="0"/>
                <w:szCs w:val="21"/>
              </w:rPr>
              <w:t>的</w:t>
            </w:r>
            <w:r>
              <w:rPr>
                <w:rFonts w:hint="eastAsia" w:ascii="黑体" w:hAnsi="黑体" w:eastAsia="黑体" w:cs="黑体"/>
                <w:b/>
                <w:bCs/>
                <w:kern w:val="0"/>
                <w:szCs w:val="21"/>
              </w:rPr>
              <w:t>每类份额最低持有金额为</w:t>
            </w:r>
            <w:r>
              <w:rPr>
                <w:rFonts w:ascii="黑体" w:hAnsi="黑体" w:eastAsia="黑体" w:cs="黑体"/>
                <w:b/>
                <w:bCs/>
                <w:kern w:val="0"/>
                <w:szCs w:val="21"/>
              </w:rPr>
              <w:t>0.01元</w:t>
            </w:r>
            <w:r>
              <w:rPr>
                <w:rFonts w:ascii="黑体" w:hAnsi="黑体" w:eastAsia="黑体" w:cs="黑体"/>
                <w:b/>
                <w:kern w:val="0"/>
                <w:szCs w:val="21"/>
              </w:rPr>
              <w:t>，</w:t>
            </w:r>
            <w:r>
              <w:rPr>
                <w:rFonts w:ascii="黑体" w:hAnsi="黑体" w:eastAsia="黑体" w:cs="黑体"/>
                <w:kern w:val="0"/>
                <w:szCs w:val="21"/>
              </w:rPr>
              <w:t>若投资者持有不足该</w:t>
            </w:r>
            <w:r>
              <w:rPr>
                <w:rFonts w:hint="eastAsia" w:ascii="黑体" w:hAnsi="黑体" w:eastAsia="黑体" w:cs="黑体"/>
                <w:kern w:val="0"/>
                <w:szCs w:val="21"/>
              </w:rPr>
              <w:t>金额</w:t>
            </w:r>
            <w:r>
              <w:rPr>
                <w:rFonts w:ascii="黑体" w:hAnsi="黑体" w:eastAsia="黑体" w:cs="黑体"/>
                <w:kern w:val="0"/>
                <w:szCs w:val="21"/>
              </w:rPr>
              <w:t>时</w:t>
            </w:r>
            <w:r>
              <w:rPr>
                <w:rFonts w:hint="eastAsia" w:ascii="黑体" w:hAnsi="黑体" w:eastAsia="黑体" w:cs="黑体"/>
                <w:kern w:val="0"/>
                <w:szCs w:val="21"/>
              </w:rPr>
              <w:t>，产品管理人可对投资者持有的产品剩余金额进行强制赎回。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销售</w:t>
            </w:r>
            <w:r>
              <w:rPr>
                <w:rFonts w:ascii="黑体" w:hAnsi="黑体" w:eastAsia="黑体" w:cs="黑体"/>
                <w:kern w:val="0"/>
                <w:szCs w:val="21"/>
              </w:rPr>
              <w:t>区域</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全国（不含港澳台地区）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管理</w:t>
            </w:r>
            <w:r>
              <w:rPr>
                <w:rFonts w:ascii="黑体" w:hAnsi="黑体" w:eastAsia="黑体" w:cs="黑体"/>
                <w:kern w:val="0"/>
                <w:szCs w:val="21"/>
              </w:rPr>
              <w:t>机构</w:t>
            </w:r>
            <w:r>
              <w:rPr>
                <w:rFonts w:hint="eastAsia" w:ascii="黑体" w:hAnsi="黑体" w:eastAsia="黑体" w:cs="黑体"/>
                <w:kern w:val="0"/>
                <w:szCs w:val="21"/>
              </w:rPr>
              <w:t>/产品</w:t>
            </w:r>
            <w:r>
              <w:rPr>
                <w:rFonts w:ascii="黑体" w:hAnsi="黑体" w:eastAsia="黑体" w:cs="黑体"/>
                <w:kern w:val="0"/>
                <w:szCs w:val="21"/>
              </w:rPr>
              <w:t>管理人</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宁银理财</w:t>
            </w:r>
            <w:r>
              <w:rPr>
                <w:rFonts w:ascii="黑体" w:hAnsi="黑体" w:eastAsia="黑体" w:cs="黑体"/>
                <w:kern w:val="0"/>
                <w:szCs w:val="21"/>
              </w:rPr>
              <w:t>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销售</w:t>
            </w:r>
            <w:r>
              <w:rPr>
                <w:rFonts w:ascii="黑体" w:hAnsi="黑体" w:eastAsia="黑体" w:cs="黑体"/>
                <w:kern w:val="0"/>
                <w:szCs w:val="21"/>
              </w:rPr>
              <w:t>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宁银理财</w:t>
            </w:r>
            <w:r>
              <w:rPr>
                <w:rFonts w:ascii="黑体" w:hAnsi="黑体" w:eastAsia="黑体" w:cs="黑体"/>
                <w:kern w:val="0"/>
                <w:szCs w:val="21"/>
              </w:rPr>
              <w:t>有限责任公司</w:t>
            </w:r>
            <w:r>
              <w:rPr>
                <w:rFonts w:hint="eastAsia" w:ascii="黑体" w:hAnsi="黑体" w:eastAsia="黑体" w:cs="黑体"/>
                <w:kern w:val="0"/>
                <w:szCs w:val="21"/>
              </w:rPr>
              <w:t>、宁波银行股份有限公司、</w:t>
            </w:r>
            <w:bookmarkStart w:id="2" w:name="_Hlk204782761"/>
            <w:r>
              <w:rPr>
                <w:rFonts w:hint="eastAsia" w:ascii="黑体" w:hAnsi="黑体" w:eastAsia="黑体" w:cs="黑体"/>
                <w:kern w:val="0"/>
                <w:szCs w:val="21"/>
              </w:rPr>
              <w:t>威海银行股份有限公司、交通银行股份有限公司、平安银行股份有限公司、广发银行股份有限公司、深圳前海微众银行股份有限公司、中国光大银行股份有限公司、潍坊银行股份有限公司</w:t>
            </w:r>
            <w:r>
              <w:fldChar w:fldCharType="begin"/>
            </w:r>
            <w:r>
              <w:instrText xml:space="preserve"> HYPERLINK </w:instrText>
            </w:r>
            <w:r>
              <w:fldChar w:fldCharType="separate"/>
            </w:r>
            <w:r>
              <w:fldChar w:fldCharType="end"/>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托管机构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宁波银行股份有限公司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投资合作机构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投资合作机构包括但不限于理财产品所投资资产管理产品的发行机构、根据合同约定从事理财产品受托投资的机构以及与理财产品投资管理相关的投资顾问等。</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本理财产品投资合作机构可能包括但不限于太平资产管理有限公司、民生通惠资产管理有限公司、华润深国投信托有限公司、平安资产管理有限责任公司、阳光资产管理股份有限公司等。</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后续新增投资合作机构时，管理人将对合作机构的资质条件、专业服务能力和风险管理水平等进行充分评价，切实履行投资管理职责。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费用</w:t>
            </w:r>
            <w:r>
              <w:rPr>
                <w:rFonts w:hint="eastAsia" w:ascii="黑体" w:hAnsi="黑体" w:eastAsia="黑体" w:cs="黑体"/>
                <w:kern w:val="0"/>
                <w:szCs w:val="21"/>
              </w:rPr>
              <w:t>及</w:t>
            </w:r>
            <w:r>
              <w:rPr>
                <w:rFonts w:ascii="黑体" w:hAnsi="黑体" w:eastAsia="黑体" w:cs="黑体"/>
                <w:kern w:val="0"/>
                <w:szCs w:val="21"/>
              </w:rPr>
              <w:t>税收</w:t>
            </w:r>
            <w:r>
              <w:rPr>
                <w:rFonts w:hint="eastAsia" w:ascii="黑体" w:hAnsi="黑体" w:eastAsia="黑体" w:cs="黑体"/>
                <w:kern w:val="0"/>
                <w:szCs w:val="21"/>
              </w:rPr>
              <w:t>规定</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本产品</w:t>
            </w:r>
            <w:r>
              <w:rPr>
                <w:rFonts w:ascii="黑体" w:hAnsi="黑体" w:eastAsia="黑体" w:cs="黑体"/>
                <w:b/>
                <w:kern w:val="0"/>
                <w:szCs w:val="21"/>
              </w:rPr>
              <w:t>收取的费用</w:t>
            </w:r>
            <w:r>
              <w:rPr>
                <w:rFonts w:hint="eastAsia" w:ascii="黑体" w:hAnsi="黑体" w:eastAsia="黑体" w:cs="黑体"/>
                <w:b/>
                <w:kern w:val="0"/>
                <w:szCs w:val="21"/>
              </w:rPr>
              <w:t>包括销售服务费、固定管理费、托管费、强制赎回费（若有）等。其中：</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销售服务费：【A、B、C、D、E、F份额】年化费率【0.40%】；</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固定管理费：【A、B、C、D、E、F份额】年化费率【0.40%】；</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托管费年化费率【0.01%】；</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强制赎回费（若有）：</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1）在满足相关流动性风险管理要求的前提下，当本产品持有的现金、国债、中央银行票据、政策性金融债券以及5个交易日内到期的其他金融工具占产品资产净值的比例合计低于5%且偏离度为负时，产品管理人将对当日单个产品投资者申请赎回份额超过本产品总份额1%以上的赎回申请征收【1%】的强制赎回费用，并将上述赎回费用全额计入产品财产。产品管理人与托管机构协商确认上述做法无益于本产品利益最大化的情形除外。</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2）本产品前10名投资者的持有份额合计超过该产品总份额50%的，当投资组合中现金、国债、中央银行票据、政策性金融债券以及5个交易日内到期的其他金融工具占该产品资产净值的比例合计低于10%且偏离度为负时，产品管理人将对投资者超过该产品总份额1%以上的赎回申请征收【1%】的强制赎回费用。</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具体的理财产品费用和税收规则详见</w:t>
            </w:r>
            <w:r>
              <w:rPr>
                <w:rFonts w:ascii="黑体" w:hAnsi="黑体" w:eastAsia="黑体" w:cs="黑体"/>
                <w:b/>
                <w:kern w:val="0"/>
                <w:szCs w:val="21"/>
              </w:rPr>
              <w:t>本说明书第</w:t>
            </w:r>
            <w:r>
              <w:rPr>
                <w:rFonts w:hint="eastAsia" w:ascii="黑体" w:hAnsi="黑体" w:eastAsia="黑体" w:cs="黑体"/>
                <w:b/>
                <w:kern w:val="0"/>
                <w:szCs w:val="21"/>
              </w:rPr>
              <w:t>六</w:t>
            </w:r>
            <w:r>
              <w:rPr>
                <w:rFonts w:ascii="黑体" w:hAnsi="黑体" w:eastAsia="黑体" w:cs="黑体"/>
                <w:b/>
                <w:kern w:val="0"/>
                <w:szCs w:val="21"/>
              </w:rPr>
              <w:t>部分</w:t>
            </w:r>
            <w:r>
              <w:rPr>
                <w:rFonts w:hint="eastAsia" w:ascii="黑体" w:hAnsi="黑体" w:eastAsia="黑体" w:cs="黑体"/>
                <w:b/>
                <w:kern w:val="0"/>
                <w:szCs w:val="21"/>
              </w:rPr>
              <w:t>产品费用、收益及税收说明</w:t>
            </w:r>
            <w:r>
              <w:rPr>
                <w:rFonts w:ascii="黑体" w:hAnsi="黑体" w:eastAsia="黑体" w:cs="黑体"/>
                <w:b/>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其他</w:t>
            </w:r>
          </w:p>
        </w:tc>
        <w:tc>
          <w:tcPr>
            <w:tcW w:w="6458" w:type="dxa"/>
          </w:tcPr>
          <w:p>
            <w:pPr>
              <w:rPr>
                <w:rFonts w:hint="eastAsia" w:ascii="黑体" w:hAnsi="黑体" w:eastAsia="黑体" w:cs="黑体"/>
                <w:b/>
                <w:kern w:val="0"/>
                <w:szCs w:val="21"/>
              </w:rPr>
            </w:pPr>
            <w:r>
              <w:rPr>
                <w:rFonts w:hint="eastAsia" w:ascii="黑体" w:hAnsi="黑体" w:eastAsia="黑体" w:cs="黑体"/>
                <w:kern w:val="0"/>
                <w:szCs w:val="21"/>
              </w:rPr>
              <w:t>1、</w:t>
            </w:r>
            <w:r>
              <w:rPr>
                <w:rFonts w:hint="eastAsia" w:ascii="黑体" w:hAnsi="黑体" w:eastAsia="黑体" w:cs="黑体"/>
                <w:b/>
                <w:kern w:val="0"/>
                <w:szCs w:val="21"/>
              </w:rPr>
              <w:t>在</w:t>
            </w:r>
            <w:r>
              <w:rPr>
                <w:rFonts w:ascii="黑体" w:hAnsi="黑体" w:eastAsia="黑体" w:cs="黑体"/>
                <w:b/>
                <w:kern w:val="0"/>
                <w:szCs w:val="21"/>
              </w:rPr>
              <w:t>本</w:t>
            </w:r>
            <w:r>
              <w:rPr>
                <w:rFonts w:hint="eastAsia" w:ascii="黑体" w:hAnsi="黑体" w:eastAsia="黑体" w:cs="黑体"/>
                <w:b/>
                <w:kern w:val="0"/>
                <w:szCs w:val="21"/>
              </w:rPr>
              <w:t>产品存续期内，产品</w:t>
            </w:r>
            <w:r>
              <w:rPr>
                <w:rFonts w:ascii="黑体" w:hAnsi="黑体" w:eastAsia="黑体" w:cs="黑体"/>
                <w:b/>
                <w:kern w:val="0"/>
                <w:szCs w:val="21"/>
              </w:rPr>
              <w:t>管理人</w:t>
            </w:r>
            <w:r>
              <w:rPr>
                <w:rFonts w:hint="eastAsia" w:ascii="黑体" w:hAnsi="黑体" w:eastAsia="黑体" w:cs="黑体"/>
                <w:b/>
                <w:kern w:val="0"/>
                <w:szCs w:val="21"/>
              </w:rPr>
              <w:t>有权根据市场情况调整本产品前述产品要素，调整前将进行相关信息披露。</w:t>
            </w:r>
          </w:p>
          <w:p>
            <w:pPr>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、产品成立日和到期日如遇非工作日，则顺延至下一工作日。</w:t>
            </w:r>
          </w:p>
          <w:p>
            <w:pPr>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w:t>
            </w:r>
            <w:r>
              <w:rPr>
                <w:rFonts w:hint="eastAsia" w:ascii="黑体" w:hAnsi="黑体" w:eastAsia="黑体" w:cs="黑体"/>
                <w:szCs w:val="21"/>
              </w:rPr>
              <w:t>本产品说明书中的工作日指上海证券交易所、深圳证券交易所及全国银行间债券市场同时开放交易的工作日。</w:t>
            </w:r>
          </w:p>
          <w:p>
            <w:pPr>
              <w:rPr>
                <w:rFonts w:hint="eastAsia" w:ascii="黑体" w:hAnsi="黑体" w:eastAsia="黑体" w:cs="黑体"/>
                <w:kern w:val="0"/>
                <w:szCs w:val="21"/>
              </w:rPr>
            </w:pPr>
            <w:r>
              <w:rPr>
                <w:rFonts w:hint="eastAsia" w:ascii="黑体" w:hAnsi="黑体" w:eastAsia="黑体" w:cs="黑体"/>
                <w:kern w:val="0"/>
                <w:szCs w:val="21"/>
              </w:rPr>
              <w:t>4、其他：无</w:t>
            </w:r>
          </w:p>
        </w:tc>
      </w:tr>
    </w:tbl>
    <w:p>
      <w:pPr>
        <w:autoSpaceDE w:val="0"/>
        <w:autoSpaceDN w:val="0"/>
        <w:adjustRightInd w:val="0"/>
        <w:jc w:val="left"/>
        <w:rPr>
          <w:rFonts w:hint="eastAsia" w:ascii="黑体" w:hAnsi="黑体" w:eastAsia="黑体" w:cs="黑体"/>
          <w:b/>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三、产品投资管理</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（一</w:t>
      </w:r>
      <w:r>
        <w:rPr>
          <w:rFonts w:ascii="黑体" w:hAnsi="黑体" w:eastAsia="黑体" w:cs="黑体"/>
          <w:bCs/>
          <w:kern w:val="0"/>
          <w:szCs w:val="21"/>
        </w:rPr>
        <w:t>）</w:t>
      </w:r>
      <w:r>
        <w:rPr>
          <w:rFonts w:hint="eastAsia" w:ascii="黑体" w:hAnsi="黑体" w:eastAsia="黑体" w:cs="黑体"/>
          <w:bCs/>
          <w:kern w:val="0"/>
          <w:szCs w:val="21"/>
        </w:rPr>
        <w:t>投资范围</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本产品投资于以下金融工具：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1、现金；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2、期限在1年以内（含1年）的银行存款、债券回购、中央银行票据、同业存单；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3、剩余期限在397天以内（含397天）的债券、在银行间市场和证券交易所市场发行的资产支持证券；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4、国家金融监督管理总局、中国人民银行认可的其他具有良好流动性的货币市场工具。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不投资于股票、可转换债券、可交换债券、以定期存款利率为基准利率的浮动利率债券（已进入最后一个利率调整期的除外）、信用等级在AA+以下的债券和资产支持证券以及国家金融监督管理总局、中国人民银行禁止投资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本产品符合包括但不限于以下要求：</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1、本产品投资于同一机构发行的债券及其作为原始权益人的资产支持证券的比例合计不超过该产品资产净值的10%，投资于国债、中央银行票据、政策性金融债券的除外。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投资于所有主体信用评级低于AAA的机构发行的金融工具的比例合计不超过该产品资产净值的10%，其中单一机构发行的金融工具的比例合计不超过该产品资产净值的2%；本款所称金融工具包括债券、银行存款、同业存单、相关机构作为原始权益人的资产支持证券及国家金融监督管理总局认可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本产品投资于有固定期限银行存款的比例合计不超过该产品资产净值的30%，投资于有存款期限，根据协议可提前支取的银行存款除外；本产品投资于主体信用评级为AAA的同一商业银行的银行存款、同业存单占该产品资产净值的比例合计不超过20%。</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4、本产品拟投资于主体信用评级低于AA+的商业银行的银行存款与同业存单的，将经本机构董事会审议批准，相关交易事先告知托管机构，并作为重大事项履行信息披露程序。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非主观因素导致突破前述各项比例限制的，产品管理人将在10个交易日内调整至符合要求，国家金融监督管理总局规定的特殊情形除外。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以及：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1、本产品持有不低于该产品资产净值5%的现金、国债、中央银行票据、政策性金融债券；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2、本产品持有不低于该产品资产净值10%的现金、国债、中央银行票据、政策性金融债券以及五个交易日内到期的其他金融工具；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本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超过该产品资产净值的10%；</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4、本产品的杠杆水平不超过120%，发生巨额赎回、连续3个交易日累计赎回20%以上或者连续5个交易日累计赎回30%以上的情形除外。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非主观因素导致突破前述第2、4项比例限制的，产品管理人将在10个交易日内调整至符合要求；非主观因素导致突破前述第3项比例限制的，产品管理人不再主动新增流动性受限资产的投资。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本产品投资组合的平均剩余期限不超过120天，平均剩余存续期限不超过240天。</w:t>
      </w:r>
    </w:p>
    <w:p>
      <w:pPr>
        <w:autoSpaceDE w:val="0"/>
        <w:autoSpaceDN w:val="0"/>
        <w:adjustRightInd w:val="0"/>
        <w:ind w:firstLine="420" w:firstLineChars="200"/>
        <w:jc w:val="left"/>
        <w:rPr>
          <w:rFonts w:hint="eastAsia" w:ascii="黑体" w:hAnsi="黑体" w:eastAsia="黑体" w:cs="黑体"/>
          <w:kern w:val="0"/>
          <w:szCs w:val="21"/>
          <w:u w:val="single"/>
        </w:rPr>
      </w:pPr>
      <w:r>
        <w:rPr>
          <w:rFonts w:hint="eastAsia" w:ascii="黑体" w:hAnsi="黑体" w:eastAsia="黑体" w:cs="黑体"/>
          <w:kern w:val="0"/>
          <w:szCs w:val="21"/>
        </w:rPr>
        <w:t>本产品可接受的合格质押品包括但不限于央票、国债、政策性金融债、中国铁路建设债券、地方政府债券、同业存单、信用债、金融债等。</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具体投向如下：</w:t>
      </w:r>
    </w:p>
    <w:tbl>
      <w:tblPr>
        <w:tblStyle w:val="2"/>
        <w:tblW w:w="7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2"/>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2" w:type="dxa"/>
          </w:tcPr>
          <w:p>
            <w:pPr>
              <w:ind w:firstLine="420" w:firstLineChars="200"/>
              <w:rPr>
                <w:rFonts w:hint="eastAsia" w:ascii="黑体" w:hAnsi="黑体" w:eastAsia="黑体"/>
                <w:szCs w:val="21"/>
              </w:rPr>
            </w:pPr>
            <w:r>
              <w:rPr>
                <w:rFonts w:hint="eastAsia" w:ascii="黑体" w:hAnsi="黑体" w:eastAsia="黑体"/>
                <w:szCs w:val="21"/>
              </w:rPr>
              <w:t>投资资产</w:t>
            </w:r>
          </w:p>
        </w:tc>
        <w:tc>
          <w:tcPr>
            <w:tcW w:w="2071" w:type="dxa"/>
          </w:tcPr>
          <w:p>
            <w:pPr>
              <w:rPr>
                <w:rFonts w:hint="eastAsia" w:ascii="黑体" w:hAnsi="黑体" w:eastAsia="黑体"/>
                <w:szCs w:val="21"/>
              </w:rPr>
            </w:pPr>
            <w:r>
              <w:rPr>
                <w:rFonts w:hint="eastAsia" w:ascii="黑体" w:hAnsi="黑体" w:eastAsia="黑体"/>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2" w:type="dxa"/>
            <w:vAlign w:val="bottom"/>
          </w:tcPr>
          <w:p>
            <w:pPr>
              <w:ind w:firstLine="420" w:firstLineChars="200"/>
              <w:rPr>
                <w:rFonts w:hint="eastAsia" w:ascii="黑体" w:hAnsi="黑体" w:eastAsia="黑体"/>
                <w:szCs w:val="21"/>
              </w:rPr>
            </w:pPr>
            <w:r>
              <w:rPr>
                <w:rFonts w:hint="eastAsia" w:ascii="黑体" w:hAnsi="黑体" w:eastAsia="黑体"/>
                <w:szCs w:val="21"/>
              </w:rPr>
              <w:t>固定收益类资产</w:t>
            </w:r>
          </w:p>
        </w:tc>
        <w:tc>
          <w:tcPr>
            <w:tcW w:w="2071" w:type="dxa"/>
          </w:tcPr>
          <w:p>
            <w:pPr>
              <w:ind w:firstLine="420" w:firstLineChars="200"/>
              <w:rPr>
                <w:rFonts w:hint="eastAsia" w:ascii="黑体" w:hAnsi="黑体" w:eastAsia="黑体"/>
                <w:szCs w:val="21"/>
              </w:rPr>
            </w:pPr>
            <w:r>
              <w:rPr>
                <w:rFonts w:hint="eastAsia" w:ascii="黑体" w:hAnsi="黑体" w:eastAsia="黑体"/>
                <w:szCs w:val="21"/>
              </w:rPr>
              <w:t>1</w:t>
            </w:r>
            <w:r>
              <w:rPr>
                <w:rFonts w:ascii="黑体" w:hAnsi="黑体" w:eastAsia="黑体"/>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5072" w:type="dxa"/>
            <w:vAlign w:val="center"/>
          </w:tcPr>
          <w:p>
            <w:pPr>
              <w:ind w:firstLine="420" w:firstLineChars="200"/>
              <w:rPr>
                <w:rFonts w:hint="eastAsia" w:ascii="黑体" w:hAnsi="黑体" w:eastAsia="黑体"/>
                <w:szCs w:val="21"/>
              </w:rPr>
            </w:pPr>
            <w:r>
              <w:rPr>
                <w:rFonts w:hint="eastAsia" w:ascii="黑体" w:hAnsi="黑体" w:eastAsia="黑体"/>
                <w:szCs w:val="21"/>
              </w:rPr>
              <w:t>权益类资产</w:t>
            </w:r>
          </w:p>
        </w:tc>
        <w:tc>
          <w:tcPr>
            <w:tcW w:w="2071" w:type="dxa"/>
            <w:vAlign w:val="center"/>
          </w:tcPr>
          <w:p>
            <w:pPr>
              <w:ind w:firstLine="420" w:firstLineChars="200"/>
              <w:rPr>
                <w:rFonts w:hint="eastAsia" w:ascii="黑体" w:hAnsi="黑体" w:eastAsia="黑体"/>
                <w:szCs w:val="21"/>
              </w:rPr>
            </w:pPr>
            <w:r>
              <w:rPr>
                <w:rFonts w:hint="eastAsia" w:ascii="黑体" w:hAnsi="黑体" w:eastAsia="黑体"/>
                <w:szCs w:val="21"/>
              </w:rPr>
              <w:t>0</w:t>
            </w:r>
            <w:r>
              <w:rPr>
                <w:rFonts w:ascii="黑体" w:hAnsi="黑体" w:eastAsia="黑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5072" w:type="dxa"/>
            <w:vAlign w:val="center"/>
          </w:tcPr>
          <w:p>
            <w:pPr>
              <w:ind w:firstLine="420" w:firstLineChars="200"/>
              <w:rPr>
                <w:rFonts w:hint="eastAsia" w:ascii="黑体" w:hAnsi="黑体" w:eastAsia="黑体"/>
                <w:szCs w:val="21"/>
              </w:rPr>
            </w:pPr>
            <w:r>
              <w:rPr>
                <w:rFonts w:hint="eastAsia" w:ascii="黑体" w:hAnsi="黑体" w:eastAsia="黑体"/>
                <w:szCs w:val="21"/>
              </w:rPr>
              <w:t>商品及金融衍生品类资产</w:t>
            </w:r>
          </w:p>
        </w:tc>
        <w:tc>
          <w:tcPr>
            <w:tcW w:w="2071" w:type="dxa"/>
            <w:vAlign w:val="center"/>
          </w:tcPr>
          <w:p>
            <w:pPr>
              <w:ind w:firstLine="420" w:firstLineChars="200"/>
              <w:rPr>
                <w:rFonts w:hint="eastAsia" w:ascii="黑体" w:hAnsi="黑体" w:eastAsia="黑体"/>
                <w:szCs w:val="21"/>
              </w:rPr>
            </w:pPr>
            <w:r>
              <w:rPr>
                <w:rFonts w:hint="eastAsia" w:ascii="黑体" w:hAnsi="黑体" w:eastAsia="黑体"/>
                <w:szCs w:val="21"/>
              </w:rPr>
              <w:t>0</w:t>
            </w:r>
            <w:r>
              <w:rPr>
                <w:rFonts w:ascii="黑体" w:hAnsi="黑体" w:eastAsia="黑体"/>
                <w:szCs w:val="21"/>
              </w:rPr>
              <w:t>%</w:t>
            </w:r>
          </w:p>
        </w:tc>
      </w:tr>
    </w:tbl>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hint="eastAsia" w:ascii="黑体" w:hAnsi="黑体" w:eastAsia="黑体"/>
          <w:szCs w:val="21"/>
        </w:rPr>
        <w:t>本产品可以通过质押式和买断式债券正回购进行融资。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2、本产品存续期间的投资比例将按上述计划配置比例合理浮动，非因主观因素导致突破上述比例限制的，产品管理人将在流动性受限资产可出售、可转让或者恢复交易之日的</w:t>
      </w:r>
      <w:r>
        <w:rPr>
          <w:rFonts w:ascii="黑体" w:hAnsi="黑体" w:eastAsia="黑体" w:cs="黑体"/>
          <w:kern w:val="0"/>
          <w:szCs w:val="21"/>
        </w:rPr>
        <w:t>15个</w:t>
      </w:r>
      <w:r>
        <w:rPr>
          <w:rFonts w:hint="eastAsia" w:ascii="黑体" w:hAnsi="黑体" w:eastAsia="黑体" w:cs="黑体"/>
          <w:kern w:val="0"/>
          <w:szCs w:val="21"/>
        </w:rPr>
        <w:t>交易日内</w:t>
      </w:r>
      <w:r>
        <w:rPr>
          <w:rFonts w:ascii="黑体" w:hAnsi="黑体" w:eastAsia="黑体" w:cs="黑体"/>
          <w:kern w:val="0"/>
          <w:szCs w:val="21"/>
        </w:rPr>
        <w:t>将投资比例调整至符合要求</w:t>
      </w:r>
      <w:r>
        <w:rPr>
          <w:rFonts w:hint="eastAsia" w:ascii="黑体" w:hAnsi="黑体" w:eastAsia="黑体" w:cs="黑体"/>
          <w:kern w:val="0"/>
          <w:szCs w:val="21"/>
        </w:rPr>
        <w:t>，国务院银行业监督管理机构规定的特殊情形除外。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3、在本产品存续期内，前述投资比例暂时超出浮动区间且可能对产品收益产生重大影响的，产品管理人将根据理财产品销售文件约定向投资者进行信息披露。</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4、</w:t>
      </w:r>
      <w:r>
        <w:rPr>
          <w:rFonts w:hint="eastAsia" w:ascii="黑体" w:hAnsi="黑体" w:eastAsia="黑体" w:cs="黑体"/>
          <w:b/>
          <w:kern w:val="0"/>
          <w:szCs w:val="21"/>
        </w:rPr>
        <w:t>产品</w:t>
      </w:r>
      <w:r>
        <w:rPr>
          <w:rFonts w:ascii="黑体" w:hAnsi="黑体" w:eastAsia="黑体" w:cs="黑体"/>
          <w:b/>
          <w:kern w:val="0"/>
          <w:szCs w:val="21"/>
        </w:rPr>
        <w:t>管理人</w:t>
      </w:r>
      <w:r>
        <w:rPr>
          <w:rFonts w:hint="eastAsia" w:ascii="黑体" w:hAnsi="黑体" w:eastAsia="黑体" w:cs="黑体"/>
          <w:b/>
          <w:kern w:val="0"/>
          <w:szCs w:val="21"/>
        </w:rPr>
        <w:t>有权对投资范围、投资品种或投资比例进行调整，若发生调整情况，将提前至少</w:t>
      </w:r>
      <w:r>
        <w:rPr>
          <w:rFonts w:hint="eastAsia" w:ascii="黑体" w:hAnsi="黑体" w:eastAsia="黑体" w:cs="黑体"/>
          <w:b/>
          <w:bCs/>
          <w:kern w:val="0"/>
          <w:szCs w:val="21"/>
        </w:rPr>
        <w:t>3个</w:t>
      </w:r>
      <w:r>
        <w:rPr>
          <w:rFonts w:ascii="黑体" w:hAnsi="黑体" w:eastAsia="黑体" w:cs="黑体"/>
          <w:b/>
          <w:kern w:val="0"/>
          <w:szCs w:val="21"/>
        </w:rPr>
        <w:t>工作日进行相关信息披露。</w:t>
      </w:r>
      <w:r>
        <w:rPr>
          <w:rFonts w:hint="eastAsia" w:ascii="黑体" w:hAnsi="黑体" w:eastAsia="黑体" w:cs="黑体"/>
          <w:b/>
          <w:kern w:val="0"/>
          <w:szCs w:val="21"/>
        </w:rPr>
        <w:t>上述情况下产品</w:t>
      </w:r>
      <w:r>
        <w:rPr>
          <w:rFonts w:ascii="黑体" w:hAnsi="黑体" w:eastAsia="黑体" w:cs="黑体"/>
          <w:b/>
          <w:kern w:val="0"/>
          <w:szCs w:val="21"/>
        </w:rPr>
        <w:t>管理人</w:t>
      </w:r>
      <w:r>
        <w:rPr>
          <w:rFonts w:hint="eastAsia" w:ascii="黑体" w:hAnsi="黑体" w:eastAsia="黑体" w:cs="黑体"/>
          <w:b/>
          <w:kern w:val="0"/>
          <w:szCs w:val="21"/>
        </w:rPr>
        <w:t>将可能开放赎回，具体以信息披露公告为准。投资者不同意公告内容的，可按公告约定全部赎回本产品。若投资者在公告执行后继续持有本产品的，视同接受公告内容。进行上述调整时，除高风险类型的理财产品超出比例范围投资较低风险资产外，产品</w:t>
      </w:r>
      <w:r>
        <w:rPr>
          <w:rFonts w:ascii="黑体" w:hAnsi="黑体" w:eastAsia="黑体" w:cs="黑体"/>
          <w:b/>
          <w:kern w:val="0"/>
          <w:szCs w:val="21"/>
        </w:rPr>
        <w:t>管理人</w:t>
      </w:r>
      <w:r>
        <w:rPr>
          <w:rFonts w:hint="eastAsia" w:ascii="黑体" w:hAnsi="黑体" w:eastAsia="黑体" w:cs="黑体"/>
          <w:b/>
          <w:kern w:val="0"/>
          <w:szCs w:val="21"/>
        </w:rPr>
        <w:t>将事先取得投资者书面同意。</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（二</w:t>
      </w:r>
      <w:r>
        <w:rPr>
          <w:rFonts w:ascii="黑体" w:hAnsi="黑体" w:eastAsia="黑体" w:cs="黑体"/>
          <w:bCs/>
          <w:kern w:val="0"/>
          <w:szCs w:val="21"/>
        </w:rPr>
        <w:t>）</w:t>
      </w:r>
      <w:r>
        <w:rPr>
          <w:rFonts w:hint="eastAsia" w:ascii="黑体" w:hAnsi="黑体" w:eastAsia="黑体" w:cs="黑体"/>
          <w:bCs/>
          <w:kern w:val="0"/>
          <w:szCs w:val="21"/>
        </w:rPr>
        <w:t>拟</w:t>
      </w:r>
      <w:r>
        <w:rPr>
          <w:rFonts w:ascii="黑体" w:hAnsi="黑体" w:eastAsia="黑体" w:cs="黑体"/>
          <w:bCs/>
          <w:kern w:val="0"/>
          <w:szCs w:val="21"/>
        </w:rPr>
        <w:t>投资市场</w:t>
      </w:r>
      <w:r>
        <w:rPr>
          <w:rFonts w:hint="eastAsia" w:ascii="黑体" w:hAnsi="黑体" w:eastAsia="黑体" w:cs="黑体"/>
          <w:bCs/>
          <w:kern w:val="0"/>
          <w:szCs w:val="21"/>
        </w:rPr>
        <w:t>和</w:t>
      </w:r>
      <w:r>
        <w:rPr>
          <w:rFonts w:ascii="黑体" w:hAnsi="黑体" w:eastAsia="黑体" w:cs="黑体"/>
          <w:bCs/>
          <w:kern w:val="0"/>
          <w:szCs w:val="21"/>
        </w:rPr>
        <w:t>资产</w:t>
      </w:r>
      <w:r>
        <w:rPr>
          <w:rFonts w:hint="eastAsia" w:ascii="黑体" w:hAnsi="黑体" w:eastAsia="黑体" w:cs="黑体"/>
          <w:bCs/>
          <w:kern w:val="0"/>
          <w:szCs w:val="21"/>
        </w:rPr>
        <w:t>的</w:t>
      </w:r>
      <w:r>
        <w:rPr>
          <w:rFonts w:ascii="黑体" w:hAnsi="黑体" w:eastAsia="黑体" w:cs="黑体"/>
          <w:bCs/>
          <w:kern w:val="0"/>
          <w:szCs w:val="21"/>
        </w:rPr>
        <w:t>风险评估</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1、产品拟</w:t>
      </w:r>
      <w:r>
        <w:rPr>
          <w:rFonts w:ascii="黑体" w:hAnsi="黑体" w:eastAsia="黑体" w:cs="黑体"/>
          <w:kern w:val="0"/>
          <w:szCs w:val="21"/>
        </w:rPr>
        <w:t>投资</w:t>
      </w:r>
      <w:r>
        <w:rPr>
          <w:rFonts w:hint="eastAsia" w:ascii="黑体" w:hAnsi="黑体" w:eastAsia="黑体" w:cs="黑体"/>
          <w:kern w:val="0"/>
          <w:szCs w:val="21"/>
        </w:rPr>
        <w:t>资产</w:t>
      </w:r>
      <w:r>
        <w:rPr>
          <w:rFonts w:ascii="黑体" w:hAnsi="黑体" w:eastAsia="黑体" w:cs="黑体"/>
          <w:kern w:val="0"/>
          <w:szCs w:val="21"/>
        </w:rPr>
        <w:t>类型</w:t>
      </w:r>
      <w:r>
        <w:rPr>
          <w:rFonts w:hint="eastAsia" w:ascii="黑体" w:hAnsi="黑体" w:eastAsia="黑体" w:cs="黑体"/>
          <w:kern w:val="0"/>
          <w:szCs w:val="21"/>
        </w:rPr>
        <w:t>以</w:t>
      </w:r>
      <w:r>
        <w:rPr>
          <w:rFonts w:ascii="黑体" w:hAnsi="黑体" w:eastAsia="黑体" w:cs="黑体"/>
          <w:kern w:val="0"/>
          <w:szCs w:val="21"/>
        </w:rPr>
        <w:t>本说明</w:t>
      </w:r>
      <w:r>
        <w:rPr>
          <w:rFonts w:hint="eastAsia" w:ascii="黑体" w:hAnsi="黑体" w:eastAsia="黑体" w:cs="黑体"/>
          <w:kern w:val="0"/>
          <w:szCs w:val="21"/>
        </w:rPr>
        <w:t>书</w:t>
      </w:r>
      <w:r>
        <w:rPr>
          <w:rFonts w:ascii="黑体" w:hAnsi="黑体" w:eastAsia="黑体" w:cs="黑体"/>
          <w:kern w:val="0"/>
          <w:szCs w:val="21"/>
        </w:rPr>
        <w:t>第</w:t>
      </w:r>
      <w:r>
        <w:rPr>
          <w:rFonts w:hint="eastAsia" w:ascii="黑体" w:hAnsi="黑体" w:eastAsia="黑体" w:cs="黑体"/>
          <w:kern w:val="0"/>
          <w:szCs w:val="21"/>
        </w:rPr>
        <w:t>三（一）</w:t>
      </w:r>
      <w:r>
        <w:rPr>
          <w:rFonts w:ascii="黑体" w:hAnsi="黑体" w:eastAsia="黑体" w:cs="黑体"/>
          <w:kern w:val="0"/>
          <w:szCs w:val="21"/>
        </w:rPr>
        <w:t>条</w:t>
      </w:r>
      <w:r>
        <w:rPr>
          <w:rFonts w:hint="eastAsia" w:ascii="黑体" w:hAnsi="黑体" w:eastAsia="黑体" w:cs="黑体"/>
          <w:kern w:val="0"/>
          <w:szCs w:val="21"/>
        </w:rPr>
        <w:t>载明</w:t>
      </w:r>
      <w:r>
        <w:rPr>
          <w:rFonts w:ascii="黑体" w:hAnsi="黑体" w:eastAsia="黑体" w:cs="黑体"/>
          <w:kern w:val="0"/>
          <w:szCs w:val="21"/>
        </w:rPr>
        <w:t>为准。</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投资于上述</w:t>
      </w:r>
      <w:r>
        <w:rPr>
          <w:rFonts w:ascii="黑体" w:hAnsi="黑体" w:eastAsia="黑体" w:cs="黑体"/>
          <w:b/>
          <w:kern w:val="0"/>
          <w:szCs w:val="21"/>
        </w:rPr>
        <w:t>市场和资产</w:t>
      </w:r>
      <w:r>
        <w:rPr>
          <w:rFonts w:hint="eastAsia" w:ascii="黑体" w:hAnsi="黑体" w:eastAsia="黑体" w:cs="黑体"/>
          <w:b/>
          <w:kern w:val="0"/>
          <w:szCs w:val="21"/>
        </w:rPr>
        <w:t>，可能</w:t>
      </w:r>
      <w:r>
        <w:rPr>
          <w:rFonts w:ascii="黑体" w:hAnsi="黑体" w:eastAsia="黑体" w:cs="黑体"/>
          <w:b/>
          <w:kern w:val="0"/>
          <w:szCs w:val="21"/>
        </w:rPr>
        <w:t>面临</w:t>
      </w:r>
      <w:r>
        <w:rPr>
          <w:rFonts w:hint="eastAsia" w:ascii="黑体" w:hAnsi="黑体" w:eastAsia="黑体" w:cs="黑体"/>
          <w:b/>
          <w:kern w:val="0"/>
          <w:szCs w:val="21"/>
        </w:rPr>
        <w:t>包括但不限于</w:t>
      </w:r>
      <w:r>
        <w:rPr>
          <w:rFonts w:ascii="黑体" w:hAnsi="黑体" w:eastAsia="黑体" w:cs="黑体"/>
          <w:b/>
          <w:kern w:val="0"/>
          <w:szCs w:val="21"/>
        </w:rPr>
        <w:t>如下风险：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政策风险</w:t>
      </w:r>
      <w:r>
        <w:rPr>
          <w:rFonts w:ascii="黑体" w:hAnsi="黑体" w:eastAsia="黑体" w:cs="黑体"/>
          <w:b/>
          <w:kern w:val="0"/>
          <w:szCs w:val="21"/>
        </w:rPr>
        <w:t>：</w:t>
      </w:r>
      <w:r>
        <w:rPr>
          <w:rFonts w:hint="eastAsia" w:ascii="黑体" w:hAnsi="黑体" w:eastAsia="黑体" w:cs="黑体"/>
          <w:b/>
          <w:kern w:val="0"/>
          <w:szCs w:val="21"/>
        </w:rPr>
        <w:t>理财产品在运作过程中，由于国家宏观政策以及市场相关法律法规、监管规定发生变化，导致产品的发行、投资、兑付等流程受到影响，进而影响产品的投资运作和收益的风险。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市场风险：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信用</w:t>
      </w:r>
      <w:r>
        <w:rPr>
          <w:rFonts w:ascii="黑体" w:hAnsi="黑体" w:eastAsia="黑体" w:cs="黑体"/>
          <w:b/>
          <w:kern w:val="0"/>
          <w:szCs w:val="21"/>
        </w:rPr>
        <w:t>风险：</w:t>
      </w:r>
      <w:r>
        <w:rPr>
          <w:rFonts w:hint="eastAsia" w:ascii="黑体" w:hAnsi="黑体" w:eastAsia="黑体" w:cs="黑体"/>
          <w:b/>
          <w:kern w:val="0"/>
          <w:szCs w:val="21"/>
        </w:rPr>
        <w:t>理财产品所投资产的相关债务人或关联责任人（包括但不限于担保人）等信用状况恶化、不能如期履约的风险。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流动性风险：</w:t>
      </w:r>
      <w:r>
        <w:rPr>
          <w:rFonts w:hint="eastAsia" w:ascii="黑体" w:hAnsi="黑体" w:eastAsia="黑体" w:cs="宋体"/>
          <w:b/>
          <w:kern w:val="0"/>
          <w:szCs w:val="21"/>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w:t>
      </w:r>
      <w:r>
        <w:rPr>
          <w:rFonts w:hint="eastAsia" w:ascii="黑体" w:hAnsi="黑体" w:eastAsia="黑体" w:cs="黑体"/>
          <w:b/>
          <w:kern w:val="0"/>
          <w:szCs w:val="21"/>
        </w:rPr>
        <w:t>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提前终止风险：在本产品存续期内，如遇包括但不限于国家金融政策发生重大调整、金融市场发生重大波动、</w:t>
      </w:r>
      <w:r>
        <w:rPr>
          <w:rFonts w:ascii="黑体" w:hAnsi="黑体" w:eastAsia="黑体" w:cs="黑体"/>
          <w:b/>
          <w:kern w:val="0"/>
          <w:szCs w:val="21"/>
        </w:rPr>
        <w:t>不可抗力</w:t>
      </w:r>
      <w:r>
        <w:rPr>
          <w:rFonts w:hint="eastAsia" w:ascii="黑体" w:hAnsi="黑体" w:eastAsia="黑体" w:cs="黑体"/>
          <w:b/>
          <w:kern w:val="0"/>
          <w:szCs w:val="21"/>
        </w:rPr>
        <w:t>、产品存续规模低于产品最低成立规模或产品管理人认为影响产品运作需要提前终止产品的其他情况，产品管理人有权提前终止产品，并至少于提前终止日前3个工作日进行公告，相关兑付</w:t>
      </w:r>
      <w:r>
        <w:rPr>
          <w:rFonts w:ascii="黑体" w:hAnsi="黑体" w:eastAsia="黑体" w:cs="黑体"/>
          <w:b/>
          <w:kern w:val="0"/>
          <w:szCs w:val="21"/>
        </w:rPr>
        <w:t>安排规则</w:t>
      </w:r>
      <w:r>
        <w:rPr>
          <w:rFonts w:hint="eastAsia" w:ascii="黑体" w:hAnsi="黑体" w:eastAsia="黑体" w:cs="黑体"/>
          <w:b/>
          <w:kern w:val="0"/>
          <w:szCs w:val="21"/>
        </w:rPr>
        <w:t>将在</w:t>
      </w:r>
      <w:r>
        <w:rPr>
          <w:rFonts w:ascii="黑体" w:hAnsi="黑体" w:eastAsia="黑体" w:cs="黑体"/>
          <w:b/>
          <w:kern w:val="0"/>
          <w:szCs w:val="21"/>
        </w:rPr>
        <w:t>公告</w:t>
      </w:r>
      <w:r>
        <w:rPr>
          <w:rFonts w:hint="eastAsia" w:ascii="黑体" w:hAnsi="黑体" w:eastAsia="黑体" w:cs="黑体"/>
          <w:b/>
          <w:kern w:val="0"/>
          <w:szCs w:val="21"/>
        </w:rPr>
        <w:t>中</w:t>
      </w:r>
      <w:r>
        <w:rPr>
          <w:rFonts w:ascii="黑体" w:hAnsi="黑体" w:eastAsia="黑体" w:cs="黑体"/>
          <w:b/>
          <w:kern w:val="0"/>
          <w:szCs w:val="21"/>
        </w:rPr>
        <w:t>披露。</w:t>
      </w:r>
      <w:r>
        <w:rPr>
          <w:rFonts w:hint="eastAsia" w:ascii="黑体" w:hAnsi="黑体" w:eastAsia="黑体" w:cs="黑体"/>
          <w:b/>
          <w:kern w:val="0"/>
          <w:szCs w:val="21"/>
        </w:rPr>
        <w:t>（具体信息及相关规则见七、理财产品到期与终止。）</w:t>
      </w:r>
    </w:p>
    <w:p>
      <w:pPr>
        <w:autoSpaceDE w:val="0"/>
        <w:autoSpaceDN w:val="0"/>
        <w:adjustRightInd w:val="0"/>
        <w:ind w:firstLine="422" w:firstLineChars="200"/>
        <w:jc w:val="left"/>
        <w:rPr>
          <w:rFonts w:hint="eastAsia" w:ascii="黑体" w:hAnsi="黑体" w:eastAsia="黑体" w:cs="黑体"/>
          <w:kern w:val="0"/>
          <w:szCs w:val="21"/>
        </w:rPr>
      </w:pPr>
      <w:r>
        <w:rPr>
          <w:rFonts w:hint="eastAsia" w:ascii="黑体" w:hAnsi="黑体" w:eastAsia="黑体" w:cs="黑体"/>
          <w:b/>
          <w:kern w:val="0"/>
          <w:szCs w:val="21"/>
        </w:rPr>
        <w:t>以上风险仅为列举性质，详见产品风险揭示书。</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2、综合考虑本产品的投资组合、同类产品过往业绩和风险水平（包括但不限于拟投资市场和资产的风险评估等）等因素，</w:t>
      </w:r>
      <w:r>
        <w:rPr>
          <w:rFonts w:hint="eastAsia" w:ascii="黑体" w:hAnsi="黑体" w:eastAsia="黑体" w:cs="黑体"/>
          <w:b/>
          <w:bCs/>
          <w:kern w:val="0"/>
          <w:szCs w:val="21"/>
        </w:rPr>
        <w:t>本产品评级为PR1风险</w:t>
      </w:r>
      <w:r>
        <w:rPr>
          <w:rFonts w:hint="eastAsia" w:ascii="黑体" w:hAnsi="黑体" w:eastAsia="黑体" w:cs="黑体"/>
          <w:kern w:val="0"/>
          <w:szCs w:val="21"/>
        </w:rPr>
        <w:t>（本评级为公司内部评级，仅供参考，该产品通过代理销售机构渠道销售的，理财产品评级应当以代理销售机构最终披露的评级结果为准）。</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四、产品交易相关规则</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（一）认购和</w:t>
      </w:r>
      <w:r>
        <w:rPr>
          <w:rFonts w:ascii="黑体" w:hAnsi="黑体" w:eastAsia="黑体" w:cs="宋体"/>
          <w:kern w:val="0"/>
          <w:szCs w:val="21"/>
        </w:rPr>
        <w:t>申购</w:t>
      </w:r>
      <w:r>
        <w:rPr>
          <w:rFonts w:hint="eastAsia" w:ascii="黑体" w:hAnsi="黑体" w:eastAsia="黑体" w:cs="宋体"/>
          <w:kern w:val="0"/>
          <w:szCs w:val="21"/>
        </w:rPr>
        <w:t>相关规则</w:t>
      </w:r>
    </w:p>
    <w:p>
      <w:pPr>
        <w:autoSpaceDE w:val="0"/>
        <w:autoSpaceDN w:val="0"/>
        <w:adjustRightInd w:val="0"/>
        <w:ind w:firstLine="420" w:firstLineChars="200"/>
        <w:jc w:val="left"/>
        <w:rPr>
          <w:rFonts w:hint="eastAsia" w:ascii="黑体" w:hAnsi="黑体" w:eastAsia="黑体" w:cs="黑体"/>
          <w:b/>
          <w:bCs/>
          <w:kern w:val="0"/>
          <w:szCs w:val="21"/>
        </w:rPr>
      </w:pPr>
      <w:r>
        <w:rPr>
          <w:rFonts w:hint="eastAsia" w:ascii="黑体" w:hAnsi="黑体" w:eastAsia="黑体" w:cs="黑体"/>
          <w:kern w:val="0"/>
          <w:szCs w:val="21"/>
        </w:rPr>
        <w:t>1、产品募集期内，投资者可以</w:t>
      </w:r>
      <w:r>
        <w:rPr>
          <w:rFonts w:ascii="黑体" w:hAnsi="黑体" w:eastAsia="黑体" w:cs="黑体"/>
          <w:kern w:val="0"/>
          <w:szCs w:val="21"/>
        </w:rPr>
        <w:t>对本产品进行认购、追加</w:t>
      </w:r>
      <w:r>
        <w:rPr>
          <w:rFonts w:hint="eastAsia" w:ascii="黑体" w:hAnsi="黑体" w:eastAsia="黑体" w:cs="黑体"/>
          <w:kern w:val="0"/>
          <w:szCs w:val="21"/>
        </w:rPr>
        <w:t>、</w:t>
      </w:r>
      <w:r>
        <w:rPr>
          <w:rFonts w:ascii="黑体" w:hAnsi="黑体" w:eastAsia="黑体" w:cs="黑体"/>
          <w:kern w:val="0"/>
          <w:szCs w:val="21"/>
        </w:rPr>
        <w:t>撤单</w:t>
      </w:r>
      <w:r>
        <w:rPr>
          <w:rFonts w:hint="eastAsia" w:ascii="黑体" w:hAnsi="黑体" w:eastAsia="黑体" w:cs="黑体"/>
          <w:kern w:val="0"/>
          <w:szCs w:val="21"/>
        </w:rPr>
        <w:t>，销售机构有权在投资者指定账户中对相应资金进行冻结或通过相关支付渠道(如有)划转，具体以销售机构实际处理为准，产品</w:t>
      </w:r>
      <w:r>
        <w:rPr>
          <w:rFonts w:ascii="黑体" w:hAnsi="黑体" w:eastAsia="黑体" w:cs="黑体"/>
          <w:kern w:val="0"/>
          <w:szCs w:val="21"/>
        </w:rPr>
        <w:t>管理人将在</w:t>
      </w:r>
      <w:r>
        <w:rPr>
          <w:rFonts w:hint="eastAsia" w:ascii="黑体" w:hAnsi="黑体" w:eastAsia="黑体" w:cs="黑体"/>
          <w:kern w:val="0"/>
          <w:szCs w:val="21"/>
        </w:rPr>
        <w:t>产品成立日</w:t>
      </w:r>
      <w:r>
        <w:rPr>
          <w:rFonts w:ascii="黑体" w:hAnsi="黑体" w:eastAsia="黑体" w:cs="黑体"/>
          <w:kern w:val="0"/>
          <w:szCs w:val="21"/>
        </w:rPr>
        <w:t>对</w:t>
      </w:r>
      <w:r>
        <w:rPr>
          <w:rFonts w:hint="eastAsia" w:ascii="黑体" w:hAnsi="黑体" w:eastAsia="黑体" w:cs="黑体"/>
          <w:kern w:val="0"/>
          <w:szCs w:val="21"/>
        </w:rPr>
        <w:t>募集期</w:t>
      </w:r>
      <w:r>
        <w:rPr>
          <w:rFonts w:ascii="黑体" w:hAnsi="黑体" w:eastAsia="黑体" w:cs="黑体"/>
          <w:kern w:val="0"/>
          <w:szCs w:val="21"/>
        </w:rPr>
        <w:t>的认购</w:t>
      </w:r>
      <w:r>
        <w:rPr>
          <w:rFonts w:hint="eastAsia" w:ascii="黑体" w:hAnsi="黑体" w:eastAsia="黑体" w:cs="黑体"/>
          <w:kern w:val="0"/>
          <w:szCs w:val="21"/>
        </w:rPr>
        <w:t>及</w:t>
      </w:r>
      <w:r>
        <w:rPr>
          <w:rFonts w:ascii="黑体" w:hAnsi="黑体" w:eastAsia="黑体" w:cs="黑体"/>
          <w:kern w:val="0"/>
          <w:szCs w:val="21"/>
        </w:rPr>
        <w:t>追加</w:t>
      </w:r>
      <w:r>
        <w:rPr>
          <w:rFonts w:hint="eastAsia" w:ascii="黑体" w:hAnsi="黑体" w:eastAsia="黑体" w:cs="黑体"/>
          <w:kern w:val="0"/>
          <w:szCs w:val="21"/>
        </w:rPr>
        <w:t>申请进行</w:t>
      </w:r>
      <w:bookmarkStart w:id="3" w:name="_Hlk33019208"/>
      <w:r>
        <w:rPr>
          <w:rFonts w:hint="eastAsia" w:ascii="黑体" w:hAnsi="黑体" w:eastAsia="黑体" w:cs="黑体"/>
          <w:kern w:val="0"/>
          <w:szCs w:val="21"/>
        </w:rPr>
        <w:t>确认和划款</w:t>
      </w:r>
      <w:bookmarkEnd w:id="3"/>
      <w:r>
        <w:rPr>
          <w:rFonts w:hint="eastAsia" w:ascii="黑体" w:hAnsi="黑体" w:eastAsia="黑体" w:cs="黑体"/>
          <w:kern w:val="0"/>
          <w:szCs w:val="21"/>
        </w:rPr>
        <w:t>。</w:t>
      </w:r>
      <w:r>
        <w:rPr>
          <w:rFonts w:hint="eastAsia" w:ascii="黑体" w:hAnsi="黑体" w:eastAsia="黑体" w:cs="黑体"/>
          <w:b/>
          <w:bCs/>
          <w:kern w:val="0"/>
          <w:szCs w:val="21"/>
        </w:rPr>
        <w:t>募集期内管理人不向投资者认购款项计付利息，销售机构是否计付利息以销售机构为准。</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产品募集期单位净值为1元，募集期认购价格采用募集期单位净值。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2、产品存续期间，投资者可以对本产品进行申购、追加、撤单，销售机构有权在投资者指定账户中对相应资金进行冻结或通过相关支付渠道(如有)划转，具体以销售机构实际处理为准，产品管理人将在</w:t>
      </w:r>
      <w:r>
        <w:rPr>
          <w:rFonts w:hint="eastAsia" w:ascii="黑体" w:hAnsi="黑体"/>
          <w:kern w:val="0"/>
        </w:rPr>
        <w:t>申购</w:t>
      </w:r>
      <w:r>
        <w:rPr>
          <w:rFonts w:hint="eastAsia" w:ascii="黑体" w:hAnsi="黑体" w:eastAsia="黑体" w:cs="黑体"/>
          <w:kern w:val="0"/>
          <w:szCs w:val="21"/>
        </w:rPr>
        <w:t>确认</w:t>
      </w:r>
      <w:r>
        <w:rPr>
          <w:rFonts w:hint="eastAsia" w:ascii="黑体" w:hAnsi="黑体"/>
          <w:kern w:val="0"/>
        </w:rPr>
        <w:t>日</w:t>
      </w:r>
      <w:r>
        <w:rPr>
          <w:rFonts w:hint="eastAsia" w:ascii="黑体" w:hAnsi="黑体" w:eastAsia="黑体" w:cs="黑体"/>
          <w:kern w:val="0"/>
          <w:szCs w:val="21"/>
        </w:rPr>
        <w:t>对上述申购及追加申请进行确认和划款。</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产品存续期单位净值为1元，存续期申购、追加的价格采用存续期单位净值。</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、产品采用金额认（申）购规则</w:t>
      </w:r>
      <w:r>
        <w:rPr>
          <w:rFonts w:ascii="黑体" w:hAnsi="黑体" w:eastAsia="黑体" w:cs="黑体"/>
          <w:kern w:val="0"/>
          <w:szCs w:val="21"/>
        </w:rPr>
        <w:t>，</w:t>
      </w:r>
      <w:r>
        <w:rPr>
          <w:rFonts w:hint="eastAsia" w:ascii="黑体" w:hAnsi="黑体" w:eastAsia="黑体" w:cs="黑体"/>
          <w:kern w:val="0"/>
          <w:szCs w:val="21"/>
        </w:rPr>
        <w:t>即认（申）购以金额确定投资者</w:t>
      </w:r>
      <w:r>
        <w:rPr>
          <w:rFonts w:ascii="黑体" w:hAnsi="黑体" w:eastAsia="黑体" w:cs="黑体"/>
          <w:kern w:val="0"/>
          <w:szCs w:val="21"/>
        </w:rPr>
        <w:t>对应的</w:t>
      </w:r>
      <w:r>
        <w:rPr>
          <w:rFonts w:hint="eastAsia" w:ascii="黑体" w:hAnsi="黑体" w:eastAsia="黑体" w:cs="黑体"/>
          <w:kern w:val="0"/>
          <w:szCs w:val="21"/>
        </w:rPr>
        <w:t>产品份额</w:t>
      </w:r>
      <w:r>
        <w:rPr>
          <w:rFonts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4、产品募集期及存续期内，若出现以下情况，产品管理人有权拒绝或暂停接受投资者的认（申）购或追加认（申）购申请：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（1）因不可抗力导致产品管理机构无法接受投资者认（申）购或追加认（申）购申请；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w:t>
      </w:r>
      <w:r>
        <w:rPr>
          <w:rFonts w:ascii="黑体" w:hAnsi="黑体" w:eastAsia="黑体" w:cs="黑体"/>
          <w:kern w:val="0"/>
          <w:szCs w:val="21"/>
        </w:rPr>
        <w:t>2</w:t>
      </w:r>
      <w:r>
        <w:rPr>
          <w:rFonts w:hint="eastAsia" w:ascii="黑体" w:hAnsi="黑体" w:eastAsia="黑体" w:cs="黑体"/>
          <w:kern w:val="0"/>
          <w:szCs w:val="21"/>
        </w:rPr>
        <w:t>）因金融市场发生重大波动等原因，继续接受认（申）购申请可能对产品存量投资者利益构成重大不利影响；</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（3）法律、法规或相关监管认定的其他情形，以及本说明书约定的其他情形。</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5、其他</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申购交易规则如下：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227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申购发起时间</w:t>
            </w:r>
          </w:p>
        </w:tc>
        <w:tc>
          <w:tcPr>
            <w:tcW w:w="2274"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申购受理日</w:t>
            </w:r>
          </w:p>
        </w:tc>
        <w:tc>
          <w:tcPr>
            <w:tcW w:w="276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0:00-17:00</w:t>
            </w:r>
            <w:r>
              <w:rPr>
                <w:rFonts w:hint="eastAsia" w:ascii="黑体" w:hAnsi="黑体" w:eastAsia="黑体" w:cs="黑体"/>
                <w:kern w:val="0"/>
                <w:szCs w:val="21"/>
              </w:rPr>
              <w:t>（不含）</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发起当日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17:00-24:00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非工作日</w:t>
            </w:r>
            <w:r>
              <w:rPr>
                <w:rFonts w:ascii="黑体" w:hAnsi="黑体" w:eastAsia="黑体" w:cs="黑体"/>
                <w:kern w:val="0"/>
                <w:szCs w:val="21"/>
              </w:rPr>
              <w:t>0:00-24:00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bl>
    <w:p>
      <w:pPr>
        <w:autoSpaceDE w:val="0"/>
        <w:autoSpaceDN w:val="0"/>
        <w:adjustRightInd w:val="0"/>
        <w:ind w:firstLine="420" w:firstLineChars="200"/>
        <w:jc w:val="left"/>
        <w:rPr>
          <w:rFonts w:hint="eastAsia" w:ascii="黑体" w:hAnsi="黑体" w:eastAsia="黑体" w:cs="宋体"/>
          <w:color w:val="000000" w:themeColor="text1"/>
          <w:kern w:val="0"/>
          <w:szCs w:val="21"/>
          <w14:textFill>
            <w14:solidFill>
              <w14:schemeClr w14:val="tx1"/>
            </w14:solidFill>
          </w14:textFill>
        </w:rPr>
      </w:pPr>
      <w:r>
        <w:rPr>
          <w:rFonts w:hint="eastAsia" w:ascii="黑体" w:hAnsi="黑体" w:eastAsia="黑体" w:cs="宋体"/>
          <w:color w:val="000000" w:themeColor="text1"/>
          <w:kern w:val="0"/>
          <w:szCs w:val="21"/>
          <w14:textFill>
            <w14:solidFill>
              <w14:schemeClr w14:val="tx1"/>
            </w14:solidFill>
          </w14:textFill>
        </w:rPr>
        <w:t>具体申购确认时间以销售机构显示为准。</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（二）赎回相关规则</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、产品存续期间，投资者可以对本产品进行赎回，</w:t>
      </w:r>
      <w:r>
        <w:rPr>
          <w:rFonts w:hint="eastAsia" w:ascii="黑体" w:hAnsi="黑体" w:eastAsia="黑体" w:cs="黑体"/>
          <w:b/>
          <w:kern w:val="0"/>
          <w:szCs w:val="21"/>
        </w:rPr>
        <w:t>产品管理人将在赎回确认日对上述赎回申请进行确认</w:t>
      </w:r>
      <w:r>
        <w:rPr>
          <w:rFonts w:hint="eastAsia" w:ascii="黑体" w:hAnsi="黑体" w:eastAsia="黑体" w:cs="黑体"/>
          <w:kern w:val="0"/>
          <w:szCs w:val="21"/>
        </w:rPr>
        <w:t>，投资者实际赎回份额以产品管理人确认的份额为准，</w:t>
      </w:r>
      <w:r>
        <w:rPr>
          <w:rFonts w:hint="eastAsia" w:ascii="黑体" w:hAnsi="黑体" w:eastAsia="黑体" w:cs="黑体"/>
          <w:b/>
          <w:kern w:val="0"/>
          <w:szCs w:val="21"/>
        </w:rPr>
        <w:t>投资者的赎回金额将在赎回确认日到账，在途期间投资者资金不计息</w:t>
      </w:r>
      <w:r>
        <w:rPr>
          <w:rFonts w:hint="eastAsia"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产品存续期单位净值为1元，存续期赎回价格采用存续期单位净值。</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、产品赎回遵循“先进先出”原则，即按照投资者持有该理财份额的先后次序进行顺序赎回，具体以销售机构实际展示或处理为准。</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、产品采用份额赎回规则</w:t>
      </w:r>
      <w:r>
        <w:rPr>
          <w:rFonts w:ascii="黑体" w:hAnsi="黑体" w:eastAsia="黑体" w:cs="黑体"/>
          <w:kern w:val="0"/>
          <w:szCs w:val="21"/>
        </w:rPr>
        <w:t>，</w:t>
      </w:r>
      <w:r>
        <w:rPr>
          <w:rFonts w:hint="eastAsia" w:ascii="黑体" w:hAnsi="黑体" w:eastAsia="黑体" w:cs="黑体"/>
          <w:kern w:val="0"/>
          <w:szCs w:val="21"/>
        </w:rPr>
        <w:t>即赎回以份额确定投资者</w:t>
      </w:r>
      <w:r>
        <w:rPr>
          <w:rFonts w:ascii="黑体" w:hAnsi="黑体" w:eastAsia="黑体" w:cs="黑体"/>
          <w:kern w:val="0"/>
          <w:szCs w:val="21"/>
        </w:rPr>
        <w:t>对应的</w:t>
      </w:r>
      <w:r>
        <w:rPr>
          <w:rFonts w:hint="eastAsia" w:ascii="黑体" w:hAnsi="黑体" w:eastAsia="黑体" w:cs="黑体"/>
          <w:kern w:val="0"/>
          <w:szCs w:val="21"/>
        </w:rPr>
        <w:t>产品金额</w:t>
      </w:r>
      <w:r>
        <w:rPr>
          <w:rFonts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4</w:t>
      </w:r>
      <w:r>
        <w:rPr>
          <w:rFonts w:hint="eastAsia" w:ascii="黑体" w:hAnsi="黑体" w:eastAsia="黑体" w:cs="黑体"/>
          <w:kern w:val="0"/>
          <w:szCs w:val="21"/>
        </w:rPr>
        <w:t>、</w:t>
      </w:r>
      <w:r>
        <w:rPr>
          <w:rFonts w:hint="eastAsia" w:ascii="黑体" w:hAnsi="黑体" w:eastAsia="黑体" w:cs="黑体"/>
          <w:b/>
          <w:kern w:val="0"/>
          <w:szCs w:val="21"/>
        </w:rPr>
        <w:t>快速赎回增值服务：</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（1）快速赎回增值服务是销售机构为投资者提供的产品份额赎回款项快速到账的增值服务，</w:t>
      </w:r>
      <w:r>
        <w:rPr>
          <w:rFonts w:hint="eastAsia" w:ascii="黑体" w:hAnsi="黑体" w:eastAsia="黑体" w:cs="黑体"/>
          <w:b/>
          <w:kern w:val="0"/>
          <w:szCs w:val="21"/>
        </w:rPr>
        <w:t>非产品管理人或销售机构的法定义务，是否开通以销售机构设置为准，销售机构有权暂停或终止该服务。快速赎回增值服务的交易规则（包括但不限于交易时间、快速赎回限额、手续费等）以销售机构与投资者之间的约定为准</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（2）产品存续期间，投资者可以通过销售机构进行快速赎回，快速赎回限额内的赎回申请通过后，销售机构可为投资者提供快速赎回增值服务。快速赎回限额：以</w:t>
      </w:r>
      <w:r>
        <w:rPr>
          <w:rFonts w:ascii="黑体" w:hAnsi="黑体" w:eastAsia="黑体" w:cs="黑体"/>
          <w:kern w:val="0"/>
          <w:szCs w:val="21"/>
        </w:rPr>
        <w:t>销售机构与</w:t>
      </w:r>
      <w:r>
        <w:rPr>
          <w:rFonts w:hint="eastAsia" w:ascii="黑体" w:hAnsi="黑体" w:eastAsia="黑体" w:cs="黑体"/>
          <w:kern w:val="0"/>
          <w:szCs w:val="21"/>
        </w:rPr>
        <w:t>投资者</w:t>
      </w:r>
      <w:r>
        <w:rPr>
          <w:rFonts w:ascii="黑体" w:hAnsi="黑体" w:eastAsia="黑体" w:cs="黑体"/>
          <w:kern w:val="0"/>
          <w:szCs w:val="21"/>
        </w:rPr>
        <w:t>之间的约定为准，但</w:t>
      </w:r>
      <w:r>
        <w:rPr>
          <w:rFonts w:hint="eastAsia" w:ascii="黑体" w:hAnsi="黑体" w:eastAsia="黑体" w:cs="黑体"/>
          <w:kern w:val="0"/>
          <w:szCs w:val="21"/>
        </w:rPr>
        <w:t>单个投资者在单个销售渠道持有的单只产品单个自然日的赎回金额最高不得高于1万元。</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w:t>
      </w:r>
      <w:r>
        <w:rPr>
          <w:rFonts w:hint="eastAsia" w:ascii="黑体" w:hAnsi="黑体" w:eastAsia="黑体" w:cs="黑体"/>
          <w:b/>
          <w:kern w:val="0"/>
          <w:szCs w:val="21"/>
        </w:rPr>
        <w:t>投资者快速赎回成功后，将不再享受自申请成功之日（含）起快速赎回理财产品份额对应的收益，敬请投资者注意</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b/>
          <w:bCs/>
          <w:kern w:val="0"/>
          <w:szCs w:val="21"/>
        </w:rPr>
      </w:pPr>
      <w:r>
        <w:rPr>
          <w:rFonts w:hint="eastAsia" w:ascii="黑体" w:hAnsi="黑体" w:eastAsia="黑体" w:cs="黑体"/>
          <w:kern w:val="0"/>
          <w:szCs w:val="21"/>
        </w:rPr>
        <w:t>5、</w:t>
      </w:r>
      <w:r>
        <w:rPr>
          <w:rFonts w:ascii="黑体" w:hAnsi="黑体" w:eastAsia="黑体" w:cs="黑体"/>
          <w:kern w:val="0"/>
          <w:szCs w:val="21"/>
        </w:rPr>
        <w:t>产品到期日时，</w:t>
      </w:r>
      <w:r>
        <w:rPr>
          <w:rFonts w:hint="eastAsia" w:ascii="黑体" w:hAnsi="黑体" w:eastAsia="黑体" w:cs="黑体"/>
          <w:kern w:val="0"/>
          <w:szCs w:val="21"/>
        </w:rPr>
        <w:t>投资者持有的理财份额将在产品到期日全部自动赎回，</w:t>
      </w:r>
      <w:r>
        <w:rPr>
          <w:rFonts w:hint="eastAsia" w:ascii="黑体" w:hAnsi="黑体" w:eastAsia="黑体" w:cs="黑体"/>
          <w:b/>
          <w:bCs/>
          <w:kern w:val="0"/>
          <w:szCs w:val="21"/>
        </w:rPr>
        <w:t>赎回价格采用到期时的产品净值。</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6、产品存续期内，若出现以下情况，产品管理人有权拒绝或暂停接受投资者的全部或部分赎回申请：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（1）因不可抗力导致产品管理机构无法接受投资者赎回申请；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w:t>
      </w:r>
      <w:r>
        <w:rPr>
          <w:rFonts w:ascii="黑体" w:hAnsi="黑体" w:eastAsia="黑体" w:cs="黑体"/>
          <w:kern w:val="0"/>
          <w:szCs w:val="21"/>
        </w:rPr>
        <w:t>所投资</w:t>
      </w:r>
      <w:r>
        <w:rPr>
          <w:rFonts w:hint="eastAsia" w:ascii="黑体" w:hAnsi="黑体" w:eastAsia="黑体" w:cs="黑体"/>
          <w:kern w:val="0"/>
          <w:szCs w:val="21"/>
        </w:rPr>
        <w:t>资产无法及时、足额变现；</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（3）触发</w:t>
      </w:r>
      <w:r>
        <w:rPr>
          <w:rFonts w:ascii="黑体" w:hAnsi="黑体" w:eastAsia="黑体" w:cs="黑体"/>
          <w:kern w:val="0"/>
          <w:szCs w:val="21"/>
        </w:rPr>
        <w:t>巨额赎回情形</w:t>
      </w:r>
      <w:r>
        <w:rPr>
          <w:rFonts w:hint="eastAsia" w:ascii="黑体" w:hAnsi="黑体" w:eastAsia="黑体" w:cs="黑体"/>
          <w:kern w:val="0"/>
          <w:szCs w:val="21"/>
        </w:rPr>
        <w:t>（</w:t>
      </w:r>
      <w:r>
        <w:rPr>
          <w:rFonts w:ascii="黑体" w:hAnsi="黑体" w:eastAsia="黑体" w:cs="黑体"/>
          <w:kern w:val="0"/>
          <w:szCs w:val="21"/>
        </w:rPr>
        <w:t>详见</w:t>
      </w:r>
      <w:r>
        <w:rPr>
          <w:rFonts w:hint="eastAsia" w:ascii="黑体" w:hAnsi="黑体" w:eastAsia="黑体" w:cs="黑体"/>
          <w:kern w:val="0"/>
          <w:szCs w:val="21"/>
        </w:rPr>
        <w:t>本</w:t>
      </w:r>
      <w:r>
        <w:rPr>
          <w:rFonts w:ascii="黑体" w:hAnsi="黑体" w:eastAsia="黑体" w:cs="黑体"/>
          <w:kern w:val="0"/>
          <w:szCs w:val="21"/>
        </w:rPr>
        <w:t>节第</w:t>
      </w:r>
      <w:r>
        <w:rPr>
          <w:rFonts w:hint="eastAsia" w:ascii="黑体" w:hAnsi="黑体" w:eastAsia="黑体" w:cs="黑体"/>
          <w:kern w:val="0"/>
          <w:szCs w:val="21"/>
        </w:rPr>
        <w:t>五</w:t>
      </w:r>
      <w:r>
        <w:rPr>
          <w:rFonts w:ascii="黑体" w:hAnsi="黑体" w:eastAsia="黑体" w:cs="黑体"/>
          <w:kern w:val="0"/>
          <w:szCs w:val="21"/>
        </w:rPr>
        <w:t>部分）</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（4）法律、法规或相关监管认定的其他情形。</w:t>
      </w:r>
    </w:p>
    <w:p>
      <w:pPr>
        <w:autoSpaceDE w:val="0"/>
        <w:autoSpaceDN w:val="0"/>
        <w:adjustRightInd w:val="0"/>
        <w:ind w:firstLine="420" w:firstLineChars="200"/>
        <w:jc w:val="left"/>
        <w:rPr>
          <w:rFonts w:hint="eastAsia" w:ascii="黑体" w:hAnsi="黑体" w:eastAsia="黑体" w:cs="黑体"/>
          <w:b/>
          <w:kern w:val="0"/>
          <w:szCs w:val="21"/>
        </w:rPr>
      </w:pPr>
      <w:r>
        <w:rPr>
          <w:rFonts w:ascii="黑体" w:hAnsi="黑体" w:eastAsia="黑体" w:cs="黑体"/>
          <w:kern w:val="0"/>
          <w:szCs w:val="21"/>
        </w:rPr>
        <w:t>7</w:t>
      </w:r>
      <w:r>
        <w:rPr>
          <w:rFonts w:hint="eastAsia" w:ascii="黑体" w:hAnsi="黑体" w:eastAsia="黑体" w:cs="黑体"/>
          <w:kern w:val="0"/>
          <w:szCs w:val="21"/>
        </w:rPr>
        <w:t>、</w:t>
      </w:r>
      <w:r>
        <w:rPr>
          <w:rFonts w:hint="eastAsia" w:ascii="黑体" w:hAnsi="黑体" w:eastAsia="黑体" w:cs="黑体"/>
          <w:b/>
          <w:kern w:val="0"/>
          <w:szCs w:val="21"/>
        </w:rPr>
        <w:t>单个产品投资者在单个开放日申请赎回份额超过本产品总份额</w:t>
      </w:r>
      <w:r>
        <w:rPr>
          <w:rFonts w:ascii="黑体" w:hAnsi="黑体" w:eastAsia="黑体" w:cs="黑体"/>
          <w:b/>
          <w:kern w:val="0"/>
          <w:szCs w:val="21"/>
        </w:rPr>
        <w:t>10%的，产品管理人可以采取延期办理部分赎回申请或者延缓支付赎回款项的措施。</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8</w:t>
      </w:r>
      <w:r>
        <w:rPr>
          <w:rFonts w:hint="eastAsia" w:ascii="黑体" w:hAnsi="黑体" w:eastAsia="黑体" w:cs="黑体"/>
          <w:kern w:val="0"/>
          <w:szCs w:val="21"/>
        </w:rPr>
        <w:t>、</w:t>
      </w:r>
      <w:r>
        <w:rPr>
          <w:rFonts w:ascii="黑体" w:hAnsi="黑体" w:eastAsia="黑体" w:cs="黑体"/>
          <w:kern w:val="0"/>
          <w:szCs w:val="21"/>
        </w:rPr>
        <w:t>其他</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赎回交易规则如下：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227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赎回发起时间</w:t>
            </w:r>
          </w:p>
        </w:tc>
        <w:tc>
          <w:tcPr>
            <w:tcW w:w="2274"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赎回受理日</w:t>
            </w:r>
          </w:p>
        </w:tc>
        <w:tc>
          <w:tcPr>
            <w:tcW w:w="276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0:00-17:00</w:t>
            </w:r>
            <w:r>
              <w:rPr>
                <w:rFonts w:hint="eastAsia" w:ascii="黑体" w:hAnsi="黑体" w:eastAsia="黑体" w:cs="黑体"/>
                <w:kern w:val="0"/>
                <w:szCs w:val="21"/>
              </w:rPr>
              <w:t>（不含）</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发起当日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17:00-24:00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非工作日</w:t>
            </w:r>
            <w:r>
              <w:rPr>
                <w:rFonts w:ascii="黑体" w:hAnsi="黑体" w:eastAsia="黑体" w:cs="黑体"/>
                <w:kern w:val="0"/>
                <w:szCs w:val="21"/>
              </w:rPr>
              <w:t>0:00-24:00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bl>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kern w:val="0"/>
          <w:szCs w:val="21"/>
        </w:rPr>
        <w:t>具体赎回确认及到账时间以销售机构显示为准。</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三）产品净值公布方式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w:t>
      </w:r>
      <w:r>
        <w:rPr>
          <w:rFonts w:ascii="黑体" w:hAnsi="黑体" w:eastAsia="黑体" w:cs="黑体"/>
          <w:kern w:val="0"/>
          <w:szCs w:val="21"/>
        </w:rPr>
        <w:t>单位</w:t>
      </w:r>
      <w:r>
        <w:rPr>
          <w:rFonts w:hint="eastAsia" w:ascii="黑体" w:hAnsi="黑体" w:eastAsia="黑体" w:cs="黑体"/>
          <w:kern w:val="0"/>
          <w:szCs w:val="21"/>
        </w:rPr>
        <w:t>净值每日归1，净值大于1的部分以红利再投的方式每日结转为份额，存续期内本产品的单位净值为每份1.00元</w:t>
      </w:r>
      <w:r>
        <w:rPr>
          <w:rFonts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kern w:val="0"/>
          <w:szCs w:val="21"/>
        </w:rPr>
      </w:pPr>
      <w:r>
        <w:rPr>
          <w:rFonts w:hint="eastAsia" w:ascii="黑体" w:hAnsi="黑体" w:eastAsia="黑体" w:cs="黑体"/>
          <w:b/>
          <w:kern w:val="0"/>
          <w:szCs w:val="21"/>
        </w:rPr>
        <w:t>产品存续期内每个产品开放日结束后</w:t>
      </w:r>
      <w:r>
        <w:rPr>
          <w:rFonts w:ascii="黑体" w:hAnsi="黑体" w:eastAsia="黑体" w:cs="黑体"/>
          <w:b/>
          <w:kern w:val="0"/>
          <w:szCs w:val="21"/>
        </w:rPr>
        <w:t xml:space="preserve"> 2 </w:t>
      </w:r>
      <w:r>
        <w:rPr>
          <w:rFonts w:hint="eastAsia" w:ascii="黑体" w:hAnsi="黑体" w:eastAsia="黑体" w:cs="黑体"/>
          <w:b/>
          <w:kern w:val="0"/>
          <w:szCs w:val="21"/>
        </w:rPr>
        <w:t>个工作日内公告该产品开放日的产品净值、</w:t>
      </w:r>
      <w:r>
        <w:rPr>
          <w:rFonts w:ascii="黑体" w:hAnsi="黑体" w:eastAsia="黑体" w:cs="黑体"/>
          <w:kern w:val="0"/>
          <w:szCs w:val="21"/>
        </w:rPr>
        <w:t>申购</w:t>
      </w:r>
      <w:r>
        <w:rPr>
          <w:rFonts w:hint="eastAsia" w:ascii="黑体" w:hAnsi="黑体" w:eastAsia="黑体" w:cs="黑体"/>
          <w:kern w:val="0"/>
          <w:szCs w:val="21"/>
        </w:rPr>
        <w:t>价格、</w:t>
      </w:r>
      <w:r>
        <w:rPr>
          <w:rFonts w:ascii="黑体" w:hAnsi="黑体" w:eastAsia="黑体" w:cs="黑体"/>
          <w:kern w:val="0"/>
          <w:szCs w:val="21"/>
        </w:rPr>
        <w:t>赎回价格</w:t>
      </w:r>
      <w:r>
        <w:rPr>
          <w:rFonts w:hint="eastAsia" w:ascii="黑体" w:hAnsi="黑体" w:eastAsia="黑体" w:cs="黑体"/>
          <w:kern w:val="0"/>
          <w:szCs w:val="21"/>
        </w:rPr>
        <w:t>、每万份产品净收益。如有</w:t>
      </w:r>
      <w:r>
        <w:rPr>
          <w:rFonts w:ascii="黑体" w:hAnsi="黑体" w:eastAsia="黑体" w:cs="黑体"/>
          <w:kern w:val="0"/>
          <w:szCs w:val="21"/>
        </w:rPr>
        <w:t>其它</w:t>
      </w:r>
      <w:r>
        <w:rPr>
          <w:rFonts w:hint="eastAsia" w:ascii="黑体" w:hAnsi="黑体" w:eastAsia="黑体" w:cs="黑体"/>
          <w:kern w:val="0"/>
          <w:szCs w:val="21"/>
        </w:rPr>
        <w:t>特殊情况的</w:t>
      </w:r>
      <w:r>
        <w:rPr>
          <w:rFonts w:ascii="黑体" w:hAnsi="黑体" w:eastAsia="黑体" w:cs="黑体"/>
          <w:kern w:val="0"/>
          <w:szCs w:val="21"/>
        </w:rPr>
        <w:t>，以</w:t>
      </w:r>
      <w:r>
        <w:rPr>
          <w:rFonts w:hint="eastAsia" w:ascii="黑体" w:hAnsi="黑体" w:eastAsia="黑体" w:cs="黑体"/>
          <w:kern w:val="0"/>
          <w:szCs w:val="21"/>
        </w:rPr>
        <w:t>产品管理人</w:t>
      </w:r>
      <w:r>
        <w:rPr>
          <w:rFonts w:ascii="黑体" w:hAnsi="黑体" w:eastAsia="黑体" w:cs="黑体"/>
          <w:kern w:val="0"/>
          <w:szCs w:val="21"/>
        </w:rPr>
        <w:t>公告</w:t>
      </w:r>
      <w:r>
        <w:rPr>
          <w:rFonts w:hint="eastAsia" w:ascii="黑体" w:hAnsi="黑体" w:eastAsia="黑体" w:cs="黑体"/>
          <w:kern w:val="0"/>
          <w:szCs w:val="21"/>
        </w:rPr>
        <w:t>为准</w:t>
      </w:r>
      <w:r>
        <w:rPr>
          <w:rFonts w:ascii="黑体" w:hAnsi="黑体" w:eastAsia="黑体" w:cs="黑体"/>
          <w:kern w:val="0"/>
          <w:szCs w:val="21"/>
        </w:rPr>
        <w:t>。</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（四</w:t>
      </w:r>
      <w:r>
        <w:rPr>
          <w:rFonts w:ascii="黑体" w:hAnsi="黑体" w:eastAsia="黑体" w:cs="宋体"/>
          <w:kern w:val="0"/>
          <w:szCs w:val="21"/>
        </w:rPr>
        <w:t>）</w:t>
      </w:r>
      <w:r>
        <w:rPr>
          <w:rFonts w:hint="eastAsia" w:ascii="黑体" w:hAnsi="黑体" w:eastAsia="黑体" w:cs="宋体"/>
          <w:kern w:val="0"/>
          <w:szCs w:val="21"/>
        </w:rPr>
        <w:t>投资者持有份额及金额计算规则</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1、计算规则（不考虑强制赎回费）</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认购确认份额 = 认购金额 / 1.00元</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申购确认份额 = 申购金额 / 1.00元</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赎回确认金额 = 赎回份额 * 1.00元</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计算得出的金额采取四舍五入后精确到小数点后2位或采取截位规则，计算得出的份额采取截位规则取小数点后2位。具体以产品管理人实际确认为准。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2、计算示例</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情景</w:t>
      </w:r>
      <w:r>
        <w:rPr>
          <w:rFonts w:ascii="黑体" w:hAnsi="黑体" w:eastAsia="黑体" w:cs="黑体"/>
          <w:color w:val="000000" w:themeColor="text1"/>
          <w:kern w:val="0"/>
          <w:szCs w:val="21"/>
          <w14:textFill>
            <w14:solidFill>
              <w14:schemeClr w14:val="tx1"/>
            </w14:solidFill>
          </w14:textFill>
        </w:rPr>
        <w:t>1：</w:t>
      </w:r>
      <w:r>
        <w:rPr>
          <w:rFonts w:hint="eastAsia" w:ascii="黑体" w:hAnsi="黑体" w:eastAsia="黑体" w:cs="黑体"/>
          <w:color w:val="000000" w:themeColor="text1"/>
          <w:kern w:val="0"/>
          <w:szCs w:val="21"/>
          <w14:textFill>
            <w14:solidFill>
              <w14:schemeClr w14:val="tx1"/>
            </w14:solidFill>
          </w14:textFill>
        </w:rPr>
        <w:t>假设投资者于募集期</w:t>
      </w:r>
      <w:r>
        <w:rPr>
          <w:rFonts w:ascii="黑体" w:hAnsi="黑体" w:eastAsia="黑体" w:cs="黑体"/>
          <w:color w:val="000000" w:themeColor="text1"/>
          <w:kern w:val="0"/>
          <w:szCs w:val="21"/>
          <w14:textFill>
            <w14:solidFill>
              <w14:schemeClr w14:val="tx1"/>
            </w14:solidFill>
          </w14:textFill>
        </w:rPr>
        <w:t>/产品存续期</w:t>
      </w:r>
      <w:r>
        <w:rPr>
          <w:rFonts w:hint="eastAsia" w:ascii="黑体" w:hAnsi="黑体" w:eastAsia="黑体" w:cs="黑体"/>
          <w:color w:val="000000" w:themeColor="text1"/>
          <w:kern w:val="0"/>
          <w:szCs w:val="21"/>
          <w14:textFill>
            <w14:solidFill>
              <w14:schemeClr w14:val="tx1"/>
            </w14:solidFill>
          </w14:textFill>
        </w:rPr>
        <w:t>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本产品，投资本金为</w:t>
      </w:r>
      <w:r>
        <w:rPr>
          <w:rFonts w:ascii="黑体" w:hAnsi="黑体" w:eastAsia="黑体" w:cs="黑体"/>
          <w:color w:val="000000" w:themeColor="text1"/>
          <w:kern w:val="0"/>
          <w:szCs w:val="21"/>
          <w14:textFill>
            <w14:solidFill>
              <w14:schemeClr w14:val="tx1"/>
            </w14:solidFill>
          </w14:textFill>
        </w:rPr>
        <w:t>100,000.00</w:t>
      </w:r>
      <w:r>
        <w:rPr>
          <w:rFonts w:hint="eastAsia" w:ascii="黑体" w:hAnsi="黑体" w:eastAsia="黑体" w:cs="黑体"/>
          <w:color w:val="000000" w:themeColor="text1"/>
          <w:kern w:val="0"/>
          <w:szCs w:val="21"/>
          <w14:textFill>
            <w14:solidFill>
              <w14:schemeClr w14:val="tx1"/>
            </w14:solidFill>
          </w14:textFill>
        </w:rPr>
        <w:t>元人民币，认购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价格为</w:t>
      </w:r>
      <w:r>
        <w:rPr>
          <w:rFonts w:ascii="黑体" w:hAnsi="黑体" w:eastAsia="黑体" w:cs="黑体"/>
          <w:color w:val="000000" w:themeColor="text1"/>
          <w:kern w:val="0"/>
          <w:szCs w:val="21"/>
          <w14:textFill>
            <w14:solidFill>
              <w14:schemeClr w14:val="tx1"/>
            </w14:solidFill>
          </w14:textFill>
        </w:rPr>
        <w:t>1.00</w:t>
      </w:r>
      <w:r>
        <w:rPr>
          <w:rFonts w:hint="eastAsia" w:ascii="黑体" w:hAnsi="黑体" w:eastAsia="黑体" w:cs="黑体"/>
          <w:color w:val="000000" w:themeColor="text1"/>
          <w:kern w:val="0"/>
          <w:szCs w:val="21"/>
          <w14:textFill>
            <w14:solidFill>
              <w14:schemeClr w14:val="tx1"/>
            </w14:solidFill>
          </w14:textFill>
        </w:rPr>
        <w:t>元</w:t>
      </w:r>
      <w:r>
        <w:rPr>
          <w:rFonts w:ascii="黑体" w:hAnsi="黑体" w:eastAsia="黑体" w:cs="黑体"/>
          <w:color w:val="000000" w:themeColor="text1"/>
          <w:kern w:val="0"/>
          <w:szCs w:val="21"/>
          <w14:textFill>
            <w14:solidFill>
              <w14:schemeClr w14:val="tx1"/>
            </w14:solidFill>
          </w14:textFill>
        </w:rPr>
        <w:t>/</w:t>
      </w:r>
      <w:r>
        <w:rPr>
          <w:rFonts w:hint="eastAsia" w:ascii="黑体" w:hAnsi="黑体" w:eastAsia="黑体" w:cs="黑体"/>
          <w:color w:val="000000" w:themeColor="text1"/>
          <w:kern w:val="0"/>
          <w:szCs w:val="21"/>
          <w14:textFill>
            <w14:solidFill>
              <w14:schemeClr w14:val="tx1"/>
            </w14:solidFill>
          </w14:textFill>
        </w:rPr>
        <w:t>份，则投资者持有份额为：</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确认份额</w:t>
      </w:r>
      <w:r>
        <w:rPr>
          <w:rFonts w:ascii="黑体" w:hAnsi="黑体" w:eastAsia="黑体" w:cs="黑体"/>
          <w:color w:val="000000" w:themeColor="text1"/>
          <w:kern w:val="0"/>
          <w:szCs w:val="21"/>
          <w14:textFill>
            <w14:solidFill>
              <w14:schemeClr w14:val="tx1"/>
            </w14:solidFill>
          </w14:textFill>
        </w:rPr>
        <w:t>=100,000.00÷1.00=100,000.00（份）</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情景</w:t>
      </w:r>
      <w:r>
        <w:rPr>
          <w:rFonts w:ascii="黑体" w:hAnsi="黑体" w:eastAsia="黑体" w:cs="黑体"/>
          <w:color w:val="000000" w:themeColor="text1"/>
          <w:kern w:val="0"/>
          <w:szCs w:val="21"/>
          <w14:textFill>
            <w14:solidFill>
              <w14:schemeClr w14:val="tx1"/>
            </w14:solidFill>
          </w14:textFill>
        </w:rPr>
        <w:t>2</w:t>
      </w:r>
      <w:r>
        <w:rPr>
          <w:rFonts w:hint="eastAsia" w:ascii="黑体" w:hAnsi="黑体" w:eastAsia="黑体" w:cs="黑体"/>
          <w:color w:val="000000" w:themeColor="text1"/>
          <w:kern w:val="0"/>
          <w:szCs w:val="21"/>
          <w14:textFill>
            <w14:solidFill>
              <w14:schemeClr w14:val="tx1"/>
            </w14:solidFill>
          </w14:textFill>
        </w:rPr>
        <w:t>：假设投资者某日赎回持有份额</w:t>
      </w:r>
      <w:r>
        <w:rPr>
          <w:rFonts w:ascii="黑体" w:hAnsi="黑体" w:eastAsia="黑体" w:cs="黑体"/>
          <w:color w:val="000000" w:themeColor="text1"/>
          <w:kern w:val="0"/>
          <w:szCs w:val="21"/>
          <w14:textFill>
            <w14:solidFill>
              <w14:schemeClr w14:val="tx1"/>
            </w14:solidFill>
          </w14:textFill>
        </w:rPr>
        <w:t xml:space="preserve">100,000.00 </w:t>
      </w:r>
      <w:r>
        <w:rPr>
          <w:rFonts w:hint="eastAsia" w:ascii="黑体" w:hAnsi="黑体" w:eastAsia="黑体" w:cs="黑体"/>
          <w:color w:val="000000" w:themeColor="text1"/>
          <w:kern w:val="0"/>
          <w:szCs w:val="21"/>
          <w14:textFill>
            <w14:solidFill>
              <w14:schemeClr w14:val="tx1"/>
            </w14:solidFill>
          </w14:textFill>
        </w:rPr>
        <w:t>份，且投资者赎回份额不收取强制赎回费，若赎回确认金额采取四舍五入后精确到小数点后2位，则兑付投资者的赎回确认金额为：</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赎回确认金额</w:t>
      </w:r>
      <w:r>
        <w:rPr>
          <w:rFonts w:ascii="黑体" w:hAnsi="黑体" w:eastAsia="黑体" w:cs="黑体"/>
          <w:color w:val="000000" w:themeColor="text1"/>
          <w:kern w:val="0"/>
          <w:szCs w:val="21"/>
          <w14:textFill>
            <w14:solidFill>
              <w14:schemeClr w14:val="tx1"/>
            </w14:solidFill>
          </w14:textFill>
        </w:rPr>
        <w:t>=100,000.00×1.00=100,000.00（元）</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测算收益不等于实际收益，投资须谨慎。</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（五）巨额赎回</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、在单个产品开放日，产品累计净赎回份额（累计赎回份额</w:t>
      </w:r>
      <w:r>
        <w:rPr>
          <w:rFonts w:ascii="黑体" w:hAnsi="黑体" w:eastAsia="黑体" w:cs="黑体"/>
          <w:kern w:val="0"/>
          <w:szCs w:val="21"/>
        </w:rPr>
        <w:t>-累计</w:t>
      </w:r>
      <w:r>
        <w:rPr>
          <w:rFonts w:hint="eastAsia" w:ascii="黑体" w:hAnsi="黑体" w:eastAsia="黑体" w:cs="黑体"/>
          <w:kern w:val="0"/>
          <w:szCs w:val="21"/>
        </w:rPr>
        <w:t>申购份额）超过开放日前一个工作日日终份额的</w:t>
      </w:r>
      <w:r>
        <w:rPr>
          <w:rFonts w:ascii="黑体" w:hAnsi="黑体" w:eastAsia="黑体" w:cs="黑体"/>
          <w:kern w:val="0"/>
          <w:szCs w:val="21"/>
        </w:rPr>
        <w:t>10%</w:t>
      </w:r>
      <w:r>
        <w:rPr>
          <w:rFonts w:hint="eastAsia" w:ascii="黑体" w:hAnsi="黑体" w:eastAsia="黑体" w:cs="黑体"/>
          <w:kern w:val="0"/>
          <w:szCs w:val="21"/>
        </w:rPr>
        <w:t>时，触发巨额赎回（快速赎回不同于普通赎回，暂不适用于巨额赎回的约定）。</w:t>
      </w:r>
    </w:p>
    <w:p>
      <w:pPr>
        <w:autoSpaceDE w:val="0"/>
        <w:autoSpaceDN w:val="0"/>
        <w:adjustRightInd w:val="0"/>
        <w:ind w:firstLine="420" w:firstLineChars="200"/>
        <w:jc w:val="left"/>
        <w:rPr>
          <w:rFonts w:hint="eastAsia" w:ascii="黑体" w:hAnsi="黑体" w:eastAsia="黑体" w:cs="宋体"/>
          <w:kern w:val="0"/>
          <w:szCs w:val="21"/>
        </w:rPr>
      </w:pPr>
      <w:r>
        <w:rPr>
          <w:rFonts w:ascii="黑体" w:hAnsi="黑体" w:eastAsia="黑体" w:cs="宋体"/>
          <w:kern w:val="0"/>
          <w:szCs w:val="21"/>
        </w:rPr>
        <w:t>2、</w:t>
      </w:r>
      <w:r>
        <w:rPr>
          <w:rFonts w:hint="eastAsia" w:ascii="黑体" w:hAnsi="黑体" w:eastAsia="黑体" w:cs="宋体"/>
          <w:kern w:val="0"/>
          <w:szCs w:val="21"/>
        </w:rPr>
        <w:t>产品在开放日发生巨额赎回时，产品管理人有权根据产品当时的投资运作情况决定采取全额赎回、部分赎回、暂停赎回等措施。在运用部分赎回、暂停赎回等措施后，产品管理人将在巨额赎回发生后3个工作日内进行信息披露，并说明运用相关措施的原因、拟采取的应对安排等。</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1）全额赎回：当产品管理人有能力兑付投资者的全部赎回申请时，将在申请确认日按投资者申请赎回份额执行正常赎回程序。</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2）部分赎回：产品管理人在申请确认日</w:t>
      </w:r>
      <w:r>
        <w:rPr>
          <w:rFonts w:hint="eastAsia" w:ascii="黑体" w:hAnsi="黑体" w:eastAsia="黑体" w:cs="宋体"/>
          <w:kern w:val="0"/>
          <w:szCs w:val="21"/>
        </w:rPr>
        <w:t>确认受理赎回比例不低于上一日产品总份额</w:t>
      </w:r>
      <w:r>
        <w:rPr>
          <w:rFonts w:ascii="黑体" w:hAnsi="黑体" w:eastAsia="黑体" w:cs="宋体"/>
          <w:kern w:val="0"/>
          <w:szCs w:val="21"/>
        </w:rPr>
        <w:t>10%的前提下，有权拒绝</w:t>
      </w:r>
      <w:r>
        <w:rPr>
          <w:rFonts w:hint="eastAsia" w:ascii="黑体" w:hAnsi="黑体" w:eastAsia="黑体" w:cs="宋体"/>
          <w:kern w:val="0"/>
          <w:szCs w:val="21"/>
        </w:rPr>
        <w:t>受理其余部分或全部赎回申请。对于当期确认受理的总赎回申请份额，产品管理人将在申请确认日按单个投资者申请赎回份额占当期申请赎回总份额的比例，确定受理该单个投资者当期的赎回份额。针对当日未确认受理的赎回申请份额，投资者可在申请赎回时选择予以撤销，未选择撤销的赎回申请，产品管理人可以延迟至下一开放日处理，延迟至下一开放日的赎回申请不享有优先确认权。巨额赎回处理方式具体以销售机构展示为准。</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3）暂停赎回：产品连续2个以上开放日发生巨额赎回的，</w:t>
      </w:r>
      <w:r>
        <w:rPr>
          <w:rFonts w:hint="eastAsia" w:ascii="黑体" w:hAnsi="黑体" w:eastAsia="黑体" w:cs="宋体"/>
          <w:kern w:val="0"/>
          <w:szCs w:val="21"/>
        </w:rPr>
        <w:t>除采取上述措施外，如产品管理人认为有必要，可暂停接受产品的赎回申请；对于已经接受的赎回申请，</w:t>
      </w:r>
      <w:r>
        <w:rPr>
          <w:rFonts w:ascii="黑体" w:hAnsi="黑体" w:eastAsia="黑体" w:cs="宋体"/>
          <w:kern w:val="0"/>
          <w:szCs w:val="21"/>
        </w:rPr>
        <w:t>产品管理人有权</w:t>
      </w:r>
      <w:r>
        <w:rPr>
          <w:rFonts w:hint="eastAsia" w:ascii="黑体" w:hAnsi="黑体" w:eastAsia="黑体" w:cs="宋体"/>
          <w:kern w:val="0"/>
          <w:szCs w:val="21"/>
        </w:rPr>
        <w:t>延缓支付赎回款项，但延缓期限不得超过</w:t>
      </w:r>
      <w:r>
        <w:rPr>
          <w:rFonts w:ascii="黑体" w:hAnsi="黑体" w:eastAsia="黑体" w:cs="宋体"/>
          <w:kern w:val="0"/>
          <w:szCs w:val="21"/>
        </w:rPr>
        <w:t>20个工作日。</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、其他：无</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（六</w:t>
      </w:r>
      <w:r>
        <w:rPr>
          <w:rFonts w:ascii="黑体" w:hAnsi="黑体" w:eastAsia="黑体" w:cs="黑体"/>
          <w:kern w:val="0"/>
          <w:szCs w:val="21"/>
        </w:rPr>
        <w:t>）分红规则</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本产品</w:t>
      </w:r>
      <w:r>
        <w:rPr>
          <w:rFonts w:hint="eastAsia" w:ascii="黑体" w:hAnsi="黑体" w:eastAsia="黑体" w:cs="黑体"/>
          <w:kern w:val="0"/>
          <w:szCs w:val="21"/>
        </w:rPr>
        <w:t>的分红方式为红利再投资，免收再投资的申购费用。详见本说明书第六部分产品费用、收益及税收说明。</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2、产品管理人有权根据产品实际运作情况，对本产品的分红规则进行调整，如有相应调整，公司将于调整前3个工作日进行信息披露。</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五、产品资产估值原则</w:t>
      </w:r>
      <w:r>
        <w:rPr>
          <w:rFonts w:ascii="黑体" w:hAnsi="黑体" w:eastAsia="黑体" w:cs="黑体"/>
          <w:b/>
          <w:kern w:val="0"/>
          <w:szCs w:val="21"/>
        </w:rPr>
        <w:t>及方法</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（一）估值日</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本产品估值日为国家法定工作日。</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（二</w:t>
      </w:r>
      <w:r>
        <w:rPr>
          <w:rFonts w:ascii="黑体" w:hAnsi="黑体" w:eastAsia="黑体" w:cs="宋体"/>
          <w:kern w:val="0"/>
          <w:szCs w:val="21"/>
        </w:rPr>
        <w:t>）</w:t>
      </w:r>
      <w:r>
        <w:rPr>
          <w:rFonts w:hint="eastAsia" w:ascii="黑体" w:hAnsi="黑体" w:eastAsia="黑体" w:cs="宋体"/>
          <w:kern w:val="0"/>
          <w:szCs w:val="21"/>
        </w:rPr>
        <w:t>估值</w:t>
      </w:r>
      <w:r>
        <w:rPr>
          <w:rFonts w:ascii="黑体" w:hAnsi="黑体" w:eastAsia="黑体" w:cs="宋体"/>
          <w:kern w:val="0"/>
          <w:szCs w:val="21"/>
        </w:rPr>
        <w:t>原则</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公司理财产品投资金融资产在符合企业会计准则的前提下坚持公允价值计量原则，鼓励使用市值计量。</w:t>
      </w:r>
      <w:r>
        <w:rPr>
          <w:rFonts w:hint="eastAsia" w:ascii="黑体" w:hAnsi="黑体" w:eastAsia="黑体" w:cs="黑体"/>
          <w:b/>
          <w:bCs/>
          <w:kern w:val="0"/>
          <w:szCs w:val="21"/>
        </w:rPr>
        <w:t>符合以下条件之一的，可按照企业会计准则以摊余成本进行计量：</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（1）资产管理产品为封闭式产品，且所投金融资产以收取合同现金流量为目的并且持有到期。</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（2）资产管理产品为封闭式产品，且所投金融资产暂不具备活跃交易市场，或者在活跃市场中没有报价、也不能采用估值技术可靠计量公允价值。</w:t>
      </w:r>
    </w:p>
    <w:p>
      <w:pPr>
        <w:autoSpaceDE w:val="0"/>
        <w:autoSpaceDN w:val="0"/>
        <w:adjustRightInd w:val="0"/>
        <w:ind w:firstLine="420" w:firstLineChars="200"/>
        <w:jc w:val="left"/>
        <w:rPr>
          <w:rFonts w:hint="eastAsia" w:ascii="黑体" w:hAnsi="黑体" w:eastAsia="黑体" w:cs="黑体"/>
          <w:b/>
          <w:bCs/>
          <w:kern w:val="0"/>
          <w:szCs w:val="21"/>
        </w:rPr>
      </w:pPr>
      <w:r>
        <w:rPr>
          <w:rFonts w:hint="eastAsia" w:ascii="黑体" w:hAnsi="黑体" w:eastAsia="黑体" w:cs="黑体"/>
          <w:kern w:val="0"/>
          <w:szCs w:val="21"/>
        </w:rPr>
        <w:t>现金管理类产品按照《企业会计准则》和《关于规范金融机构资产管理业务的指导意见》关于金融资产估值核算的相关规定，确认和计量现金管理类产品的净值。可在确保现金管理类产品资产净值能够公允地反映投资组合价值的前提下，采用摊余成本法对持有的投资组合进行会计核算。</w:t>
      </w:r>
      <w:r>
        <w:rPr>
          <w:rFonts w:hint="eastAsia" w:ascii="黑体" w:hAnsi="黑体" w:eastAsia="黑体" w:cs="黑体"/>
          <w:b/>
          <w:bCs/>
          <w:kern w:val="0"/>
          <w:szCs w:val="21"/>
        </w:rPr>
        <w:t>由于按摊余成本法计量可能会出现被计量对象的其他可参考公允价值指标和摊余成本之间的偏离，为消除或减少因理财产品资产净值的背离导致理财产品份额持有人权益的稀释或其他不公平的结果，在实际操作中，产品管理人和托管机构将采用估值技术，对理财产品持有的估值对象进行重新评估，即“影子定价”。当影子定价确定的现金管理类产品资产净值与摊余成本法计算的资产净值正偏离度绝对值达到0.5%时，产品管理人将暂停接受认购并在5个交易日内将正偏离度绝对值调整到0.5%以内。当负偏离度绝对值达到0.25%时，产品管理人将在5个交易日内将负偏离度绝对值调整到0.25%以内。当负偏离度绝对值达到0.5%时，产品管理人将采取相应措施，将负偏离度绝对值控制在0.5%以内。当负偏离度绝对值连续两个交易日超过0.5%时，产品管理人将采用公允价值估值方法对持有投资组合的账面价值进行调整，或者采取暂停接受所有赎回申请并终止产品合同进行财产清算等措施。若采取上述处理方式，产品管理人将于发生后三个工作日内进行信息披露。</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如财政部、中国人民银行、国家金融监督管理总局等有关部门对估值原则另有规定的，从其规定。</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（三）估值对象</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本产品所持有的所有资产。</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（四）资产估值方法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hint="eastAsia" w:ascii="黑体" w:hAnsi="黑体" w:eastAsia="黑体" w:cs="黑体"/>
          <w:kern w:val="0"/>
          <w:szCs w:val="21"/>
        </w:rPr>
        <w:tab/>
      </w:r>
      <w:r>
        <w:rPr>
          <w:rFonts w:hint="eastAsia" w:ascii="黑体" w:hAnsi="黑体" w:eastAsia="黑体" w:cs="黑体"/>
          <w:kern w:val="0"/>
          <w:szCs w:val="21"/>
        </w:rPr>
        <w:t>权益类证券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参考类似投资品种的现行价格及重大变化因素，调整最近交易日的收盘价确定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w:t>
      </w:r>
      <w:r>
        <w:rPr>
          <w:rFonts w:hint="eastAsia" w:ascii="黑体" w:hAnsi="黑体" w:eastAsia="黑体" w:cs="黑体"/>
          <w:kern w:val="0"/>
          <w:szCs w:val="21"/>
        </w:rPr>
        <w:tab/>
      </w:r>
      <w:r>
        <w:rPr>
          <w:rFonts w:hint="eastAsia" w:ascii="黑体" w:hAnsi="黑体" w:eastAsia="黑体" w:cs="黑体"/>
          <w:kern w:val="0"/>
          <w:szCs w:val="21"/>
        </w:rPr>
        <w:t>固定收益类证券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理财产品直接持有的在证券交易所和全国银行间市场交易的债券，以交易为目的的，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按第三方估值机构（中债、中证等）提供的估值数据，对本组合持有的债券进行估值，具体第三方估值机构由管理人和托管行具体协商确定；以收取合同现金流量为目的并持有到期的，在符合监管规定的情况下按摊余成本法计量。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资产支持证券和资产支持票据原则上按第三方估值机构（中债、中证等）提供的估值数据进行估值，具体第三方估值机构由管理人和托管行具体协商确定。但若因其交易不活跃或未来现金流难以确认等客观原因，导致第三方估值机构提供的估值数据无法反映其公允价值的，为保护投资者利益，经管理人和托管行合理判断后，可采用其他估值技术对其进行估值。管理人应持续评估上述估值技术的适当性，并在此情况发生改变时做出适当调整。</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3、存款类资产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包括：活期存款、定期存款、通知存款、存放同业、大额存单等。按照约定利率在持有期内逐日计提应收利息，在利息到账日以实收利息入账。</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4、非上市基金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理财产品投资的境内非货币市场基金，按所投资基金估值日的份额净值估值；境内货币市场基金，按所投资基金前一估值日后至估值日期间（含节假日）的万份收益计提估值日基金收益。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5、上市证券投资基金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理财产品投资的ETF 基金、境内上市定期开放式基金、封闭式基金，按所投资基金估值日的收盘价估值；境内上市开放式基金（LOF）、境内上市交易型货币市场基金，如所投资基金披露份额净值，则按所投资基金估值日的份额净值估值，估值日未公布净值的，按其最近公布的基金份额净值为基础估值；如所投资基金披露万份收益，则按所投资基金前一估值日后至估值日期间（含节假日）的万份收益计提估值日基金收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6、净值型资管产品</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净值型资管产品包括基金资管计划、信托计划等。理财产品投资的资产管理产品，按资产管理人提供的资管产品份额净值估值，净值频率以管理人发布为准。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7、衍生品</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对证券交易所或银行间市场上交易的衍生品，若存在活跃市场的情况下，以活跃市场上未经调整的报价作为计量日的公允价值；若活跃市场报价未能代表计量日公允价值的情况下，对市场报价进行调整以确认计量日的公允价值；对于不存在市场活动或市场活动很少的情况下，当采用第三方估值或估值技术确定其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对非上市交易的衍生品，且第三方估值机构（中证或中债）未提供估值价格的，采用估值技术确定其公允价值。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8、非标准化债权资产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符合《关于规范金融机构资产管理业务的指导意见》中规定的可以使用摊余成本法计量的非标准化债权资产，可使用摊余成本法计量，其余采用公允价值法计量。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9、其他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各类资产具体估值方法的确认，可参考《企业会计准则》以及相关监管政策的规定。</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10、若产品管理人或产品托管人认为按以上规定方法不能真实反映理财产品资产公允价值的，经产品管理人和产品托管人协商一致后，可以变更资产价值的确定方式。国家或相关监管机构有最新规定的，按其规定进行估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11、在任何情况下，产品管理人与托管人所共同认可的估值方式均视为客观、公允的估值方法。该产品估值均以产品公布的估值结果为准。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2</w:t>
      </w:r>
      <w:r>
        <w:rPr>
          <w:rFonts w:hint="eastAsia" w:ascii="黑体" w:hAnsi="黑体" w:eastAsia="黑体" w:cs="黑体"/>
          <w:kern w:val="0"/>
          <w:szCs w:val="21"/>
        </w:rPr>
        <w:t>、以上估值方法所涉及的资产类型仅为条款完备性而列举，不代表本产品实际投向该类型资产。本产品的投资范围以说明书“三、产品投资管理（一）投资范围”载明为准。</w:t>
      </w:r>
    </w:p>
    <w:p>
      <w:pPr>
        <w:autoSpaceDE w:val="0"/>
        <w:autoSpaceDN w:val="0"/>
        <w:adjustRightInd w:val="0"/>
        <w:jc w:val="left"/>
        <w:rPr>
          <w:rFonts w:hint="eastAsia" w:ascii="黑体" w:hAnsi="黑体" w:eastAsia="黑体" w:cs="ËÎÌå"/>
          <w:kern w:val="0"/>
          <w:szCs w:val="21"/>
        </w:rPr>
      </w:pPr>
      <w:r>
        <w:rPr>
          <w:rFonts w:hint="eastAsia" w:ascii="黑体" w:hAnsi="黑体" w:eastAsia="黑体" w:cs="ËÎÌå"/>
          <w:kern w:val="0"/>
          <w:szCs w:val="21"/>
        </w:rPr>
        <w:t>（五）估值错误的处理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和托管机构将采取必要、适当合理的措施确保产品资产估值的准确性、及时性。当产品单位净值出现错误时，产品</w:t>
      </w:r>
      <w:r>
        <w:rPr>
          <w:rFonts w:ascii="黑体" w:hAnsi="黑体" w:eastAsia="黑体" w:cs="黑体"/>
          <w:kern w:val="0"/>
          <w:szCs w:val="21"/>
        </w:rPr>
        <w:t>管理人</w:t>
      </w:r>
      <w:r>
        <w:rPr>
          <w:rFonts w:hint="eastAsia" w:ascii="黑体" w:hAnsi="黑体" w:eastAsia="黑体" w:cs="黑体"/>
          <w:kern w:val="0"/>
          <w:szCs w:val="21"/>
        </w:rPr>
        <w:t>应当立即予以纠正，并采取合理的措施防止损失进一步扩大。由于本产品估值所用的价格来源出现错误，或由于其它不可抗力原因，产品</w:t>
      </w:r>
      <w:r>
        <w:rPr>
          <w:rFonts w:ascii="黑体" w:hAnsi="黑体" w:eastAsia="黑体" w:cs="黑体"/>
          <w:kern w:val="0"/>
          <w:szCs w:val="21"/>
        </w:rPr>
        <w:t>管理人</w:t>
      </w:r>
      <w:r>
        <w:rPr>
          <w:rFonts w:hint="eastAsia" w:ascii="黑体" w:hAnsi="黑体" w:eastAsia="黑体" w:cs="黑体"/>
          <w:kern w:val="0"/>
          <w:szCs w:val="21"/>
        </w:rPr>
        <w:t>和托管机构虽然已经采取必要、适当、合理的措施进行检查，但是未能发现该错误的，</w:t>
      </w:r>
      <w:r>
        <w:rPr>
          <w:rFonts w:hint="eastAsia" w:ascii="黑体" w:hAnsi="黑体" w:eastAsia="黑体" w:cs="黑体"/>
          <w:b/>
          <w:bCs/>
          <w:kern w:val="0"/>
          <w:szCs w:val="21"/>
        </w:rPr>
        <w:t>由此造成的产品资产估值错误，产品管理人和托管机构不承担责任。</w:t>
      </w:r>
      <w:r>
        <w:rPr>
          <w:rFonts w:hint="eastAsia" w:ascii="黑体" w:hAnsi="黑体" w:eastAsia="黑体" w:cs="黑体"/>
          <w:kern w:val="0"/>
          <w:szCs w:val="21"/>
        </w:rPr>
        <w:t>但产品</w:t>
      </w:r>
      <w:r>
        <w:rPr>
          <w:rFonts w:ascii="黑体" w:hAnsi="黑体" w:eastAsia="黑体" w:cs="黑体"/>
          <w:kern w:val="0"/>
          <w:szCs w:val="21"/>
        </w:rPr>
        <w:t>管理人</w:t>
      </w:r>
      <w:r>
        <w:rPr>
          <w:rFonts w:hint="eastAsia" w:ascii="黑体" w:hAnsi="黑体" w:eastAsia="黑体" w:cs="黑体"/>
          <w:kern w:val="0"/>
          <w:szCs w:val="21"/>
        </w:rPr>
        <w:t>和托管机构应当积极采取必要的措施消除或减轻由此造成的影响。</w:t>
      </w:r>
    </w:p>
    <w:p>
      <w:pPr>
        <w:autoSpaceDE w:val="0"/>
        <w:autoSpaceDN w:val="0"/>
        <w:adjustRightInd w:val="0"/>
        <w:jc w:val="left"/>
        <w:rPr>
          <w:rFonts w:hint="eastAsia" w:ascii="黑体" w:hAnsi="黑体" w:eastAsia="黑体" w:cs="ËÎÌå"/>
          <w:kern w:val="0"/>
          <w:szCs w:val="21"/>
        </w:rPr>
      </w:pPr>
      <w:r>
        <w:rPr>
          <w:rFonts w:hint="eastAsia" w:ascii="黑体" w:hAnsi="黑体" w:eastAsia="黑体" w:cs="ËÎÌå"/>
          <w:kern w:val="0"/>
          <w:szCs w:val="21"/>
        </w:rPr>
        <w:t>（六）暂停估值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当本产品资产的估值因不可抗力或其它情形致使产品</w:t>
      </w:r>
      <w:r>
        <w:rPr>
          <w:rFonts w:ascii="黑体" w:hAnsi="黑体" w:eastAsia="黑体" w:cs="黑体"/>
          <w:kern w:val="0"/>
          <w:szCs w:val="21"/>
        </w:rPr>
        <w:t>管理人</w:t>
      </w:r>
      <w:r>
        <w:rPr>
          <w:rFonts w:hint="eastAsia" w:ascii="黑体" w:hAnsi="黑体" w:eastAsia="黑体" w:cs="黑体"/>
          <w:kern w:val="0"/>
          <w:szCs w:val="21"/>
        </w:rPr>
        <w:t>、托管机构无法准确评估产品资产价值的，当本产品在前一估值日内，产品资产净值</w:t>
      </w:r>
      <w:r>
        <w:rPr>
          <w:rFonts w:ascii="黑体" w:hAnsi="黑体" w:eastAsia="黑体" w:cs="黑体"/>
          <w:kern w:val="0"/>
          <w:szCs w:val="21"/>
        </w:rPr>
        <w:t>50%以上的资产不具备活跃交易市场或者在活跃市场中无报价，且不能采用估值技术可靠计量公允价值</w:t>
      </w:r>
      <w:r>
        <w:rPr>
          <w:rFonts w:hint="eastAsia" w:ascii="黑体" w:hAnsi="黑体" w:eastAsia="黑体" w:cs="黑体"/>
          <w:kern w:val="0"/>
          <w:szCs w:val="21"/>
        </w:rPr>
        <w:t>的，或当本产品存在国家金融监督管理总局认定的导致无法准确估值的其它情形的，产品</w:t>
      </w:r>
      <w:r>
        <w:rPr>
          <w:rFonts w:ascii="黑体" w:hAnsi="黑体" w:eastAsia="黑体" w:cs="黑体"/>
          <w:kern w:val="0"/>
          <w:szCs w:val="21"/>
        </w:rPr>
        <w:t>管理人</w:t>
      </w:r>
      <w:r>
        <w:rPr>
          <w:rFonts w:hint="eastAsia" w:ascii="黑体" w:hAnsi="黑体" w:eastAsia="黑体" w:cs="黑体"/>
          <w:kern w:val="0"/>
          <w:szCs w:val="21"/>
        </w:rPr>
        <w:t>可暂停产品的估值直至另行通知，并采取延缓支付赎回款项或暂停接受理财产品认购、赎回申请等措施，同时在</w:t>
      </w:r>
      <w:r>
        <w:rPr>
          <w:rFonts w:ascii="黑体" w:hAnsi="黑体" w:eastAsia="黑体" w:cs="黑体"/>
          <w:kern w:val="0"/>
          <w:szCs w:val="21"/>
        </w:rPr>
        <w:t>3个工作日内告知本产品的投资者，并说明运用相关措施的原因、拟采取的应对安排等。</w:t>
      </w:r>
      <w:r>
        <w:rPr>
          <w:rFonts w:hint="eastAsia" w:ascii="黑体" w:hAnsi="黑体" w:eastAsia="黑体" w:cs="黑体"/>
          <w:b/>
          <w:bCs/>
          <w:kern w:val="0"/>
          <w:szCs w:val="21"/>
        </w:rPr>
        <w:t>由此造成的损失，产品管理人和托管机构不承担责任。</w:t>
      </w:r>
    </w:p>
    <w:p>
      <w:pPr>
        <w:autoSpaceDE w:val="0"/>
        <w:autoSpaceDN w:val="0"/>
        <w:adjustRightInd w:val="0"/>
        <w:ind w:firstLine="495" w:firstLineChars="236"/>
        <w:jc w:val="left"/>
        <w:rPr>
          <w:rFonts w:hint="eastAsia" w:ascii="黑体" w:hAnsi="黑体" w:eastAsia="黑体" w:cs="ËÎÌå"/>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六、产品费用、收益及税收说明</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（一）产品费用计提方法、计提标准和支付方式</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本产品收取的费用包括销售服务费、固定管理费、托管费、强制赎回费（若有）等</w:t>
      </w:r>
      <w:r>
        <w:rPr>
          <w:rFonts w:ascii="黑体" w:hAnsi="黑体" w:eastAsia="黑体" w:cs="黑体"/>
          <w:b/>
          <w:kern w:val="0"/>
          <w:szCs w:val="21"/>
        </w:rPr>
        <w:t>，具体计提方法、计提标准和支付方式如下：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w:t>
      </w:r>
      <w:r>
        <w:rPr>
          <w:rFonts w:ascii="黑体" w:hAnsi="黑体" w:eastAsia="黑体" w:cs="黑体"/>
          <w:b/>
          <w:kern w:val="0"/>
          <w:szCs w:val="21"/>
        </w:rPr>
        <w:t>销售服务费：本产品销售服务费按</w:t>
      </w:r>
      <w:r>
        <w:rPr>
          <w:rFonts w:hint="eastAsia" w:ascii="黑体" w:hAnsi="黑体" w:eastAsia="黑体" w:cs="黑体"/>
          <w:b/>
          <w:kern w:val="0"/>
          <w:szCs w:val="21"/>
          <w:u w:val="single"/>
        </w:rPr>
        <w:t>0.40%年费率（适用于A、B、C、D、E、F份额）</w:t>
      </w:r>
      <w:r>
        <w:rPr>
          <w:rFonts w:ascii="黑体" w:hAnsi="黑体" w:eastAsia="黑体" w:cs="黑体"/>
          <w:b/>
          <w:kern w:val="0"/>
          <w:szCs w:val="21"/>
        </w:rPr>
        <w:t>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J=Y×销售服务费率（年化）÷365 </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J为产品各份额每一自然日应计提的销售服务费 </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Y为当日产品各份额存续总份额 </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销售服务费每日计提，按季支付，或由管理人向托管人发送指令，托管人复核后从产 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2</w:t>
      </w:r>
      <w:r>
        <w:rPr>
          <w:rFonts w:hint="eastAsia" w:ascii="黑体" w:hAnsi="黑体" w:eastAsia="黑体" w:cs="黑体"/>
          <w:b/>
          <w:kern w:val="0"/>
          <w:szCs w:val="21"/>
        </w:rPr>
        <w:t>、固定管理费：本产品固定管理费按当日产品存续总份额的0.</w:t>
      </w:r>
      <w:r>
        <w:rPr>
          <w:rFonts w:ascii="黑体" w:hAnsi="黑体" w:eastAsia="黑体" w:cs="黑体"/>
          <w:b/>
          <w:kern w:val="0"/>
          <w:szCs w:val="21"/>
        </w:rPr>
        <w:t>4</w:t>
      </w:r>
      <w:r>
        <w:rPr>
          <w:rFonts w:hint="eastAsia" w:ascii="黑体" w:hAnsi="黑体" w:eastAsia="黑体" w:cs="黑体"/>
          <w:b/>
          <w:kern w:val="0"/>
          <w:szCs w:val="21"/>
        </w:rPr>
        <w:t>0%年费率</w:t>
      </w:r>
      <w:r>
        <w:rPr>
          <w:rFonts w:hint="eastAsia" w:ascii="黑体" w:hAnsi="黑体" w:eastAsia="黑体" w:cs="黑体"/>
          <w:b/>
          <w:kern w:val="0"/>
          <w:szCs w:val="21"/>
          <w:u w:val="single"/>
        </w:rPr>
        <w:t>（适用于A、B、C、D、E、F份额）</w:t>
      </w:r>
      <w:r>
        <w:rPr>
          <w:rFonts w:hint="eastAsia" w:ascii="黑体" w:hAnsi="黑体" w:eastAsia="黑体" w:cs="黑体"/>
          <w:b/>
          <w:kern w:val="0"/>
          <w:szCs w:val="21"/>
        </w:rPr>
        <w:t>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H=Y×固定管理费率（年化）÷365</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H为产品各份额每一自</w:t>
      </w:r>
      <w:r>
        <w:rPr>
          <w:rFonts w:hint="eastAsia" w:ascii="黑体" w:hAnsi="黑体" w:eastAsia="黑体" w:cs="黑体"/>
          <w:b/>
          <w:kern w:val="0"/>
          <w:szCs w:val="21"/>
        </w:rPr>
        <w:t>然日应计提的固定管理费</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Y为</w:t>
      </w:r>
      <w:r>
        <w:rPr>
          <w:rFonts w:hint="eastAsia" w:ascii="黑体" w:hAnsi="黑体" w:eastAsia="黑体" w:cs="黑体"/>
          <w:b/>
          <w:kern w:val="0"/>
          <w:szCs w:val="21"/>
        </w:rPr>
        <w:t>当日产品</w:t>
      </w:r>
      <w:r>
        <w:rPr>
          <w:rFonts w:ascii="黑体" w:hAnsi="黑体" w:eastAsia="黑体" w:cs="黑体"/>
          <w:b/>
          <w:kern w:val="0"/>
          <w:szCs w:val="21"/>
        </w:rPr>
        <w:t>各份额</w:t>
      </w:r>
      <w:r>
        <w:rPr>
          <w:rFonts w:hint="eastAsia" w:ascii="黑体" w:hAnsi="黑体" w:eastAsia="黑体" w:cs="黑体"/>
          <w:b/>
          <w:kern w:val="0"/>
          <w:szCs w:val="21"/>
        </w:rPr>
        <w:t>存续总份额</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固定管理费每日计提，按季支付，或由管理人向托管人发送指令，托管人复核后从产品资产中支付。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3</w:t>
      </w:r>
      <w:r>
        <w:rPr>
          <w:rFonts w:hint="eastAsia" w:ascii="黑体" w:hAnsi="黑体" w:eastAsia="黑体" w:cs="黑体"/>
          <w:b/>
          <w:kern w:val="0"/>
          <w:szCs w:val="21"/>
        </w:rPr>
        <w:t>、浮动管理费：无</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4</w:t>
      </w:r>
      <w:r>
        <w:rPr>
          <w:rFonts w:hint="eastAsia" w:ascii="黑体" w:hAnsi="黑体" w:eastAsia="黑体" w:cs="黑体"/>
          <w:b/>
          <w:kern w:val="0"/>
          <w:szCs w:val="21"/>
        </w:rPr>
        <w:t>、托管费：本产品托管费按当日产品存续总份额的0.01%年费率</w:t>
      </w:r>
      <w:r>
        <w:rPr>
          <w:rFonts w:hint="eastAsia" w:ascii="黑体" w:hAnsi="黑体" w:eastAsia="黑体" w:cs="黑体"/>
          <w:b/>
          <w:kern w:val="0"/>
          <w:szCs w:val="21"/>
          <w:u w:val="single"/>
        </w:rPr>
        <w:t>（适用于A、B、C、D、E、F份额）</w:t>
      </w:r>
      <w:r>
        <w:rPr>
          <w:rFonts w:hint="eastAsia" w:ascii="黑体" w:hAnsi="黑体" w:eastAsia="黑体" w:cs="黑体"/>
          <w:b/>
          <w:kern w:val="0"/>
          <w:szCs w:val="21"/>
        </w:rPr>
        <w:t>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T=</w:t>
      </w:r>
      <w:r>
        <w:rPr>
          <w:rFonts w:ascii="黑体" w:hAnsi="黑体" w:eastAsia="黑体" w:cs="黑体"/>
          <w:b/>
          <w:kern w:val="0"/>
          <w:szCs w:val="21"/>
        </w:rPr>
        <w:t>Y</w:t>
      </w:r>
      <w:r>
        <w:rPr>
          <w:rFonts w:hint="eastAsia" w:ascii="黑体" w:hAnsi="黑体" w:eastAsia="黑体" w:cs="黑体"/>
          <w:b/>
          <w:kern w:val="0"/>
          <w:szCs w:val="21"/>
        </w:rPr>
        <w:t>×托管费率（年化）÷365</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T为产品</w:t>
      </w:r>
      <w:r>
        <w:rPr>
          <w:rFonts w:ascii="黑体" w:hAnsi="黑体" w:eastAsia="黑体" w:cs="黑体"/>
          <w:b/>
          <w:kern w:val="0"/>
          <w:szCs w:val="21"/>
        </w:rPr>
        <w:t>各份额</w:t>
      </w:r>
      <w:r>
        <w:rPr>
          <w:rFonts w:hint="eastAsia" w:ascii="黑体" w:hAnsi="黑体" w:eastAsia="黑体" w:cs="黑体"/>
          <w:b/>
          <w:kern w:val="0"/>
          <w:szCs w:val="21"/>
        </w:rPr>
        <w:t>每一自然日应计提的产品托管费</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Y</w:t>
      </w:r>
      <w:r>
        <w:rPr>
          <w:rFonts w:hint="eastAsia" w:ascii="黑体" w:hAnsi="黑体" w:eastAsia="黑体" w:cs="黑体"/>
          <w:b/>
          <w:kern w:val="0"/>
          <w:szCs w:val="21"/>
        </w:rPr>
        <w:t>为当日产品</w:t>
      </w:r>
      <w:r>
        <w:rPr>
          <w:rFonts w:ascii="黑体" w:hAnsi="黑体" w:eastAsia="黑体" w:cs="黑体"/>
          <w:b/>
          <w:kern w:val="0"/>
          <w:szCs w:val="21"/>
        </w:rPr>
        <w:t>各份额</w:t>
      </w:r>
      <w:r>
        <w:rPr>
          <w:rFonts w:hint="eastAsia" w:ascii="黑体" w:hAnsi="黑体" w:eastAsia="黑体" w:cs="黑体"/>
          <w:b/>
          <w:kern w:val="0"/>
          <w:szCs w:val="21"/>
        </w:rPr>
        <w:t>存续总份额</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托管费每日计提，按季支付，或由管理人向托管人发送指令，托管人复核后从产品资产中支付。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5</w:t>
      </w:r>
      <w:r>
        <w:rPr>
          <w:rFonts w:hint="eastAsia" w:ascii="黑体" w:hAnsi="黑体" w:eastAsia="黑体" w:cs="黑体"/>
          <w:b/>
          <w:kern w:val="0"/>
          <w:szCs w:val="21"/>
        </w:rPr>
        <w:t>、手续费</w:t>
      </w:r>
      <w:r>
        <w:rPr>
          <w:rFonts w:ascii="黑体" w:hAnsi="黑体" w:eastAsia="黑体" w:cs="黑体"/>
          <w:b/>
          <w:kern w:val="0"/>
          <w:szCs w:val="21"/>
        </w:rPr>
        <w:t>：</w:t>
      </w:r>
      <w:bookmarkStart w:id="4" w:name="_Hlk33053737"/>
      <w:r>
        <w:rPr>
          <w:rFonts w:hint="eastAsia" w:ascii="黑体" w:hAnsi="黑体" w:eastAsia="黑体" w:cs="黑体"/>
          <w:b/>
          <w:kern w:val="0"/>
          <w:szCs w:val="21"/>
        </w:rPr>
        <w:t>无</w:t>
      </w:r>
    </w:p>
    <w:bookmarkEnd w:id="4"/>
    <w:p>
      <w:pPr>
        <w:autoSpaceDE w:val="0"/>
        <w:autoSpaceDN w:val="0"/>
        <w:adjustRightInd w:val="0"/>
        <w:ind w:firstLine="422" w:firstLineChars="200"/>
        <w:jc w:val="left"/>
        <w:rPr>
          <w:rFonts w:hint="eastAsia" w:ascii="黑体" w:hAnsi="黑体" w:eastAsia="黑体" w:cs="黑体"/>
          <w:b/>
          <w:kern w:val="0"/>
          <w:szCs w:val="21"/>
        </w:rPr>
      </w:pPr>
      <w:bookmarkStart w:id="5" w:name="_Hlk33107492"/>
      <w:r>
        <w:rPr>
          <w:rFonts w:ascii="黑体" w:hAnsi="黑体" w:eastAsia="黑体" w:cs="黑体"/>
          <w:b/>
          <w:kern w:val="0"/>
          <w:szCs w:val="21"/>
        </w:rPr>
        <w:t>6</w:t>
      </w:r>
      <w:r>
        <w:rPr>
          <w:rFonts w:hint="eastAsia" w:ascii="黑体" w:hAnsi="黑体" w:eastAsia="黑体" w:cs="黑体"/>
          <w:b/>
          <w:kern w:val="0"/>
          <w:szCs w:val="21"/>
        </w:rPr>
        <w:t>、</w:t>
      </w:r>
      <w:bookmarkStart w:id="6" w:name="_Hlk33053751"/>
      <w:r>
        <w:rPr>
          <w:rFonts w:hint="eastAsia" w:ascii="黑体" w:hAnsi="黑体" w:eastAsia="黑体" w:cs="黑体"/>
          <w:b/>
          <w:kern w:val="0"/>
          <w:szCs w:val="21"/>
        </w:rPr>
        <w:t>强制赎回费：</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本产品将在以下两种情况下，收取强制赎回费用，并在赎回时将上述费用直接从兑付资金中扣除。</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1）在满足相关流动性风险管理要求的前提下，当本产品持有的现金、国债、中央银行票据、政策性金融债券以及5个交易日内到期的其他金融工具占产品资产净值的比例合计低于5%且偏离度为负时，产品管理人将对当日单个产品投资者申请赎回份额超过本产品总份额</w:t>
      </w:r>
      <w:r>
        <w:rPr>
          <w:rFonts w:ascii="黑体" w:hAnsi="黑体" w:eastAsia="黑体" w:cs="黑体"/>
          <w:b/>
          <w:kern w:val="0"/>
          <w:szCs w:val="21"/>
        </w:rPr>
        <w:t>1%</w:t>
      </w:r>
      <w:r>
        <w:rPr>
          <w:rFonts w:hint="eastAsia" w:ascii="黑体" w:hAnsi="黑体" w:eastAsia="黑体" w:cs="黑体"/>
          <w:b/>
          <w:kern w:val="0"/>
          <w:szCs w:val="21"/>
        </w:rPr>
        <w:t>以上的赎回申请征收</w:t>
      </w:r>
      <w:r>
        <w:rPr>
          <w:rFonts w:ascii="黑体" w:hAnsi="黑体" w:eastAsia="黑体" w:cs="黑体"/>
          <w:b/>
          <w:kern w:val="0"/>
          <w:szCs w:val="21"/>
        </w:rPr>
        <w:t>1%</w:t>
      </w:r>
      <w:r>
        <w:rPr>
          <w:rFonts w:hint="eastAsia" w:ascii="黑体" w:hAnsi="黑体" w:eastAsia="黑体" w:cs="黑体"/>
          <w:b/>
          <w:kern w:val="0"/>
          <w:szCs w:val="21"/>
        </w:rPr>
        <w:t>的强制赎回费用，并将上述赎回费用全额计入产品财产。产品管理人</w:t>
      </w:r>
      <w:r>
        <w:rPr>
          <w:rFonts w:ascii="黑体" w:hAnsi="黑体" w:eastAsia="黑体" w:cs="黑体"/>
          <w:b/>
          <w:kern w:val="0"/>
          <w:szCs w:val="21"/>
        </w:rPr>
        <w:t>与托管机构协商确认上述做法无益于</w:t>
      </w:r>
      <w:r>
        <w:rPr>
          <w:rFonts w:hint="eastAsia" w:ascii="黑体" w:hAnsi="黑体" w:eastAsia="黑体" w:cs="黑体"/>
          <w:b/>
          <w:kern w:val="0"/>
          <w:szCs w:val="21"/>
        </w:rPr>
        <w:t>本</w:t>
      </w:r>
      <w:r>
        <w:rPr>
          <w:rFonts w:ascii="黑体" w:hAnsi="黑体" w:eastAsia="黑体" w:cs="黑体"/>
          <w:b/>
          <w:kern w:val="0"/>
          <w:szCs w:val="21"/>
        </w:rPr>
        <w:t>产品利益最大化的情形除外。</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w:t>
      </w:r>
      <w:r>
        <w:rPr>
          <w:rFonts w:ascii="黑体" w:hAnsi="黑体" w:eastAsia="黑体" w:cs="黑体"/>
          <w:b/>
          <w:kern w:val="0"/>
          <w:szCs w:val="21"/>
        </w:rPr>
        <w:t>2）</w:t>
      </w:r>
      <w:r>
        <w:rPr>
          <w:rFonts w:hint="eastAsia" w:ascii="黑体" w:hAnsi="黑体" w:eastAsia="黑体" w:cs="黑体"/>
          <w:b/>
          <w:kern w:val="0"/>
          <w:szCs w:val="21"/>
        </w:rPr>
        <w:t>本</w:t>
      </w:r>
      <w:r>
        <w:rPr>
          <w:rFonts w:ascii="黑体" w:hAnsi="黑体" w:eastAsia="黑体" w:cs="黑体"/>
          <w:b/>
          <w:kern w:val="0"/>
          <w:szCs w:val="21"/>
        </w:rPr>
        <w:t>产品前10名投资者的持有份额合计超过该产品总份额50%的，当投资组合中现金、国债、中央银行票据、政策性金融债券以及5个交易日内到期的其他金融工具占该产品资产净值的比例合计低于10%且偏离度为负时，</w:t>
      </w:r>
      <w:r>
        <w:rPr>
          <w:rFonts w:hint="eastAsia" w:ascii="黑体" w:hAnsi="黑体" w:eastAsia="黑体" w:cs="黑体"/>
          <w:b/>
          <w:kern w:val="0"/>
          <w:szCs w:val="21"/>
        </w:rPr>
        <w:t>产品管理人将</w:t>
      </w:r>
      <w:r>
        <w:rPr>
          <w:rFonts w:ascii="黑体" w:hAnsi="黑体" w:eastAsia="黑体" w:cs="黑体"/>
          <w:b/>
          <w:kern w:val="0"/>
          <w:szCs w:val="21"/>
        </w:rPr>
        <w:t>对投资者超过该产品总份额1%以上的赎回申请征收1%的强制赎回费用。</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计算方法如下：</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强制赎回费</w:t>
      </w:r>
      <w:r>
        <w:rPr>
          <w:rFonts w:ascii="黑体" w:hAnsi="黑体" w:eastAsia="黑体" w:cs="黑体"/>
          <w:b/>
          <w:kern w:val="0"/>
          <w:szCs w:val="21"/>
        </w:rPr>
        <w:t>=</w:t>
      </w:r>
      <w:r>
        <w:rPr>
          <w:rFonts w:hint="eastAsia" w:ascii="黑体" w:hAnsi="黑体" w:eastAsia="黑体" w:cs="黑体"/>
          <w:b/>
          <w:kern w:val="0"/>
          <w:szCs w:val="21"/>
        </w:rPr>
        <w:t>（当日单个投资者申请赎回份额</w:t>
      </w:r>
      <w:r>
        <w:rPr>
          <w:rFonts w:ascii="黑体" w:hAnsi="黑体" w:eastAsia="黑体" w:cs="黑体"/>
          <w:b/>
          <w:kern w:val="0"/>
          <w:szCs w:val="21"/>
        </w:rPr>
        <w:t>-</w:t>
      </w:r>
      <w:r>
        <w:rPr>
          <w:rFonts w:hint="eastAsia" w:ascii="黑体" w:hAnsi="黑体" w:eastAsia="黑体" w:cs="黑体"/>
          <w:b/>
          <w:kern w:val="0"/>
          <w:szCs w:val="21"/>
        </w:rPr>
        <w:t>本产品上一工作日总份额</w:t>
      </w:r>
      <w:r>
        <w:rPr>
          <w:rFonts w:ascii="黑体" w:hAnsi="黑体" w:eastAsia="黑体" w:cs="黑体"/>
          <w:b/>
          <w:kern w:val="0"/>
          <w:szCs w:val="21"/>
        </w:rPr>
        <w:t>*1%</w:t>
      </w:r>
      <w:r>
        <w:rPr>
          <w:rFonts w:hint="eastAsia" w:ascii="黑体" w:hAnsi="黑体" w:eastAsia="黑体" w:cs="黑体"/>
          <w:b/>
          <w:kern w:val="0"/>
          <w:szCs w:val="21"/>
        </w:rPr>
        <w:t>）</w:t>
      </w:r>
      <w:r>
        <w:rPr>
          <w:rFonts w:ascii="黑体" w:hAnsi="黑体" w:eastAsia="黑体" w:cs="黑体"/>
          <w:b/>
          <w:kern w:val="0"/>
          <w:szCs w:val="21"/>
        </w:rPr>
        <w:t>*</w:t>
      </w:r>
      <w:r>
        <w:rPr>
          <w:rFonts w:hint="eastAsia" w:ascii="黑体" w:hAnsi="黑体" w:eastAsia="黑体" w:cs="黑体"/>
          <w:b/>
          <w:kern w:val="0"/>
          <w:szCs w:val="21"/>
        </w:rPr>
        <w:t>本产品当日单位净值</w:t>
      </w:r>
      <w:r>
        <w:rPr>
          <w:rFonts w:ascii="黑体" w:hAnsi="黑体" w:eastAsia="黑体" w:cs="黑体"/>
          <w:b/>
          <w:kern w:val="0"/>
          <w:szCs w:val="21"/>
        </w:rPr>
        <w:t>*</w:t>
      </w:r>
      <w:r>
        <w:rPr>
          <w:rFonts w:hint="eastAsia" w:ascii="黑体" w:hAnsi="黑体" w:eastAsia="黑体" w:cs="黑体"/>
          <w:b/>
          <w:kern w:val="0"/>
          <w:szCs w:val="21"/>
        </w:rPr>
        <w:t>强制赎回费费率</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7、其他费用：无</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8、</w:t>
      </w:r>
      <w:r>
        <w:rPr>
          <w:rFonts w:hint="eastAsia" w:ascii="黑体" w:hAnsi="黑体" w:eastAsia="黑体" w:cs="黑体"/>
          <w:b/>
          <w:kern w:val="0"/>
          <w:szCs w:val="21"/>
        </w:rPr>
        <w:t>产品运作和清算中产生的其他费用，包括但不限于资金汇划费、结算费、交易手续费、注册登记费、信息披露费、账户服务费、审计费、律师费等费用，按照实际发生情况从产品中列支。</w:t>
      </w:r>
      <w:bookmarkEnd w:id="6"/>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9</w:t>
      </w:r>
      <w:r>
        <w:rPr>
          <w:rFonts w:hint="eastAsia" w:ascii="黑体" w:hAnsi="黑体" w:eastAsia="黑体" w:cs="黑体"/>
          <w:kern w:val="0"/>
          <w:szCs w:val="21"/>
        </w:rPr>
        <w:t>、上述费用将按相关</w:t>
      </w:r>
      <w:r>
        <w:rPr>
          <w:rFonts w:ascii="黑体" w:hAnsi="黑体" w:eastAsia="黑体" w:cs="黑体"/>
          <w:kern w:val="0"/>
          <w:szCs w:val="21"/>
        </w:rPr>
        <w:t>合同</w:t>
      </w:r>
      <w:r>
        <w:rPr>
          <w:rFonts w:hint="eastAsia" w:ascii="黑体" w:hAnsi="黑体" w:eastAsia="黑体" w:cs="黑体"/>
          <w:kern w:val="0"/>
          <w:szCs w:val="21"/>
        </w:rPr>
        <w:t>约定的时间和方式支付给收款方。</w:t>
      </w:r>
    </w:p>
    <w:bookmarkEnd w:id="5"/>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10</w:t>
      </w:r>
      <w:r>
        <w:rPr>
          <w:rFonts w:hint="eastAsia" w:ascii="黑体" w:hAnsi="黑体" w:eastAsia="黑体" w:cs="黑体"/>
          <w:b/>
          <w:kern w:val="0"/>
          <w:szCs w:val="21"/>
        </w:rPr>
        <w:t>、产品管理人有权根据市场情况等调整上述各项收费项目、收费条件、收费标准和收费方式，并至少于调整日之前3个工作日进行公告。上述情况下产品</w:t>
      </w:r>
      <w:r>
        <w:rPr>
          <w:rFonts w:ascii="黑体" w:hAnsi="黑体" w:eastAsia="黑体" w:cs="黑体"/>
          <w:b/>
          <w:kern w:val="0"/>
          <w:szCs w:val="21"/>
        </w:rPr>
        <w:t>管理人</w:t>
      </w:r>
      <w:r>
        <w:rPr>
          <w:rFonts w:hint="eastAsia" w:ascii="黑体" w:hAnsi="黑体" w:eastAsia="黑体" w:cs="黑体"/>
          <w:b/>
          <w:kern w:val="0"/>
          <w:szCs w:val="21"/>
        </w:rPr>
        <w:t>将可能开放赎回，具体以信息披露公告为准。投资者不同意公告内容的，可按公告约定全部赎回本产品。若投资者在公告执行后继续持有本产品的，视同接受公告内容。</w:t>
      </w:r>
    </w:p>
    <w:p>
      <w:pPr>
        <w:autoSpaceDE w:val="0"/>
        <w:autoSpaceDN w:val="0"/>
        <w:adjustRightInd w:val="0"/>
        <w:jc w:val="left"/>
        <w:rPr>
          <w:rFonts w:hint="eastAsia" w:ascii="黑体" w:hAnsi="黑体" w:eastAsia="黑体" w:cs="宋体"/>
          <w:b/>
          <w:bCs/>
          <w:kern w:val="0"/>
          <w:szCs w:val="21"/>
        </w:rPr>
      </w:pPr>
      <w:r>
        <w:rPr>
          <w:rFonts w:hint="eastAsia" w:ascii="黑体" w:hAnsi="黑体" w:eastAsia="黑体" w:cs="宋体"/>
          <w:b/>
          <w:bCs/>
          <w:kern w:val="0"/>
          <w:szCs w:val="21"/>
        </w:rPr>
        <w:t>（二）</w:t>
      </w:r>
      <w:bookmarkStart w:id="7" w:name="_Hlk33085424"/>
      <w:r>
        <w:rPr>
          <w:rFonts w:hint="eastAsia" w:ascii="黑体" w:hAnsi="黑体" w:eastAsia="黑体" w:cs="宋体"/>
          <w:b/>
          <w:bCs/>
          <w:kern w:val="0"/>
          <w:szCs w:val="21"/>
        </w:rPr>
        <w:t>产品收益分配</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1、本产品每份产品份额享有同等分配权。</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2、本产品收益分配方式为每日分配、按日结转。本理财产品根据每日产品收益情况，以每万份产品净收益为基准，每日为投资者计算上一日收益并分配，且每日进行结转。</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3、投资者自认购/申购份额确认当日开始享有产品的收益分配权益；自赎回确认当日开始不再享有产品的收益分配权益。</w:t>
      </w:r>
    </w:p>
    <w:p>
      <w:pPr>
        <w:autoSpaceDE w:val="0"/>
        <w:autoSpaceDN w:val="0"/>
        <w:adjustRightInd w:val="0"/>
        <w:ind w:firstLine="420" w:firstLineChars="200"/>
        <w:jc w:val="left"/>
        <w:rPr>
          <w:rFonts w:hint="eastAsia" w:ascii="黑体" w:hAnsi="黑体" w:eastAsia="黑体" w:cs="宋体"/>
          <w:kern w:val="0"/>
          <w:szCs w:val="21"/>
        </w:rPr>
      </w:pPr>
      <w:r>
        <w:rPr>
          <w:rFonts w:ascii="黑体" w:hAnsi="黑体" w:eastAsia="黑体" w:cs="宋体"/>
          <w:kern w:val="0"/>
          <w:szCs w:val="21"/>
        </w:rPr>
        <w:t>4</w:t>
      </w:r>
      <w:r>
        <w:rPr>
          <w:rFonts w:hint="eastAsia" w:ascii="黑体" w:hAnsi="黑体" w:eastAsia="黑体" w:cs="宋体"/>
          <w:kern w:val="0"/>
          <w:szCs w:val="21"/>
        </w:rPr>
        <w:t>、计算示例：</w:t>
      </w:r>
      <w:bookmarkEnd w:id="7"/>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示例</w:t>
      </w:r>
      <w:r>
        <w:rPr>
          <w:rFonts w:ascii="黑体" w:hAnsi="黑体" w:eastAsia="黑体" w:cs="黑体"/>
          <w:color w:val="000000" w:themeColor="text1"/>
          <w:kern w:val="0"/>
          <w:szCs w:val="21"/>
          <w14:textFill>
            <w14:solidFill>
              <w14:schemeClr w14:val="tx1"/>
            </w14:solidFill>
          </w14:textFill>
        </w:rPr>
        <w:t>1</w:t>
      </w:r>
      <w:r>
        <w:rPr>
          <w:rFonts w:hint="eastAsia" w:ascii="黑体" w:hAnsi="黑体" w:eastAsia="黑体" w:cs="黑体"/>
          <w:color w:val="000000" w:themeColor="text1"/>
          <w:kern w:val="0"/>
          <w:szCs w:val="21"/>
          <w14:textFill>
            <w14:solidFill>
              <w14:schemeClr w14:val="tx1"/>
            </w14:solidFill>
          </w14:textFill>
        </w:rPr>
        <w:t>：假设投资者于募集期</w:t>
      </w:r>
      <w:r>
        <w:rPr>
          <w:rFonts w:ascii="黑体" w:hAnsi="黑体" w:eastAsia="黑体" w:cs="黑体"/>
          <w:color w:val="000000" w:themeColor="text1"/>
          <w:kern w:val="0"/>
          <w:szCs w:val="21"/>
          <w14:textFill>
            <w14:solidFill>
              <w14:schemeClr w14:val="tx1"/>
            </w14:solidFill>
          </w14:textFill>
        </w:rPr>
        <w:t>/</w:t>
      </w:r>
      <w:r>
        <w:rPr>
          <w:rFonts w:hint="eastAsia" w:ascii="黑体" w:hAnsi="黑体" w:eastAsia="黑体" w:cs="黑体"/>
          <w:color w:val="000000" w:themeColor="text1"/>
          <w:kern w:val="0"/>
          <w:szCs w:val="21"/>
          <w14:textFill>
            <w14:solidFill>
              <w14:schemeClr w14:val="tx1"/>
            </w14:solidFill>
          </w14:textFill>
        </w:rPr>
        <w:t>产品存续期认购</w:t>
      </w:r>
      <w:r>
        <w:rPr>
          <w:rFonts w:ascii="黑体" w:hAnsi="黑体" w:eastAsia="黑体" w:cs="黑体"/>
          <w:color w:val="000000" w:themeColor="text1"/>
          <w:kern w:val="0"/>
          <w:szCs w:val="21"/>
          <w14:textFill>
            <w14:solidFill>
              <w14:schemeClr w14:val="tx1"/>
            </w14:solidFill>
          </w14:textFill>
        </w:rPr>
        <w:t>/</w:t>
      </w:r>
      <w:r>
        <w:rPr>
          <w:rFonts w:hint="eastAsia" w:ascii="黑体" w:hAnsi="黑体" w:eastAsia="黑体" w:cs="黑体"/>
          <w:color w:val="000000" w:themeColor="text1"/>
          <w:kern w:val="0"/>
          <w:szCs w:val="21"/>
          <w14:textFill>
            <w14:solidFill>
              <w14:schemeClr w14:val="tx1"/>
            </w14:solidFill>
          </w14:textFill>
        </w:rPr>
        <w:t>申购，本金为</w:t>
      </w:r>
      <w:r>
        <w:rPr>
          <w:rFonts w:ascii="黑体" w:hAnsi="黑体" w:eastAsia="黑体" w:cs="黑体"/>
          <w:color w:val="000000" w:themeColor="text1"/>
          <w:kern w:val="0"/>
          <w:szCs w:val="21"/>
          <w14:textFill>
            <w14:solidFill>
              <w14:schemeClr w14:val="tx1"/>
            </w14:solidFill>
          </w14:textFill>
        </w:rPr>
        <w:t>50000</w:t>
      </w:r>
      <w:r>
        <w:rPr>
          <w:rFonts w:hint="eastAsia" w:ascii="黑体" w:hAnsi="黑体" w:eastAsia="黑体" w:cs="黑体"/>
          <w:color w:val="000000" w:themeColor="text1"/>
          <w:kern w:val="0"/>
          <w:szCs w:val="21"/>
          <w14:textFill>
            <w14:solidFill>
              <w14:schemeClr w14:val="tx1"/>
            </w14:solidFill>
          </w14:textFill>
        </w:rPr>
        <w:t>元，则投资者持有份额为</w:t>
      </w:r>
      <w:r>
        <w:rPr>
          <w:rFonts w:ascii="黑体" w:hAnsi="黑体" w:eastAsia="黑体" w:cs="黑体"/>
          <w:color w:val="000000" w:themeColor="text1"/>
          <w:kern w:val="0"/>
          <w:szCs w:val="21"/>
          <w14:textFill>
            <w14:solidFill>
              <w14:schemeClr w14:val="tx1"/>
            </w14:solidFill>
          </w14:textFill>
        </w:rPr>
        <w:t>50000</w:t>
      </w:r>
      <w:r>
        <w:rPr>
          <w:rFonts w:hint="eastAsia" w:ascii="黑体" w:hAnsi="黑体" w:eastAsia="黑体" w:cs="黑体"/>
          <w:color w:val="000000" w:themeColor="text1"/>
          <w:kern w:val="0"/>
          <w:szCs w:val="21"/>
          <w14:textFill>
            <w14:solidFill>
              <w14:schemeClr w14:val="tx1"/>
            </w14:solidFill>
          </w14:textFill>
        </w:rPr>
        <w:t>份。假设投资者持有期内，每日红利再投，计划全部赎回时持有份额为</w:t>
      </w:r>
      <w:r>
        <w:rPr>
          <w:rFonts w:ascii="黑体" w:hAnsi="黑体" w:eastAsia="黑体" w:cs="黑体"/>
          <w:color w:val="000000" w:themeColor="text1"/>
          <w:kern w:val="0"/>
          <w:szCs w:val="21"/>
          <w14:textFill>
            <w14:solidFill>
              <w14:schemeClr w14:val="tx1"/>
            </w14:solidFill>
          </w14:textFill>
        </w:rPr>
        <w:t>51000份，</w:t>
      </w:r>
      <w:r>
        <w:rPr>
          <w:rFonts w:hint="eastAsia" w:ascii="黑体" w:hAnsi="黑体" w:eastAsia="黑体" w:cs="黑体"/>
          <w:color w:val="000000" w:themeColor="text1"/>
          <w:kern w:val="0"/>
          <w:szCs w:val="21"/>
          <w14:textFill>
            <w14:solidFill>
              <w14:schemeClr w14:val="tx1"/>
            </w14:solidFill>
          </w14:textFill>
        </w:rPr>
        <w:t>且投资者赎回份额不收取强制赎回费，</w:t>
      </w:r>
      <w:r>
        <w:rPr>
          <w:rFonts w:ascii="黑体" w:hAnsi="黑体" w:eastAsia="黑体" w:cs="黑体"/>
          <w:color w:val="000000" w:themeColor="text1"/>
          <w:kern w:val="0"/>
          <w:szCs w:val="21"/>
          <w14:textFill>
            <w14:solidFill>
              <w14:schemeClr w14:val="tx1"/>
            </w14:solidFill>
          </w14:textFill>
        </w:rPr>
        <w:t>则赎回金额为51000元。</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上述示例采用假设数据计算，测算收益不等于实际收益，投资须谨慎。</w:t>
      </w:r>
    </w:p>
    <w:p>
      <w:pPr>
        <w:autoSpaceDE w:val="0"/>
        <w:autoSpaceDN w:val="0"/>
        <w:adjustRightInd w:val="0"/>
        <w:ind w:firstLine="422" w:firstLineChars="200"/>
        <w:jc w:val="left"/>
        <w:rPr>
          <w:rFonts w:hint="eastAsia" w:ascii="黑体" w:hAnsi="黑体" w:eastAsia="黑体" w:cs="黑体"/>
          <w:kern w:val="0"/>
          <w:szCs w:val="21"/>
        </w:rPr>
      </w:pPr>
      <w:bookmarkStart w:id="8" w:name="_Hlk33085449"/>
      <w:r>
        <w:rPr>
          <w:rFonts w:hint="eastAsia" w:ascii="黑体" w:hAnsi="黑体" w:eastAsia="黑体" w:cs="黑体"/>
          <w:b/>
          <w:bCs/>
          <w:kern w:val="0"/>
          <w:szCs w:val="21"/>
        </w:rPr>
        <w:t>在最不利情况下，投资者甚至可能损失全部本金。</w:t>
      </w:r>
      <w:r>
        <w:rPr>
          <w:rFonts w:hint="eastAsia" w:ascii="黑体" w:hAnsi="黑体" w:eastAsia="黑体" w:cs="黑体"/>
          <w:b/>
          <w:kern w:val="0"/>
          <w:szCs w:val="21"/>
        </w:rPr>
        <w:t>投资者应充分认识投资风险，谨慎投资。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示例：如投资者购买本理财</w:t>
      </w:r>
      <w:r>
        <w:rPr>
          <w:rFonts w:hint="eastAsia" w:ascii="黑体" w:hAnsi="黑体" w:eastAsia="黑体" w:cs="黑体"/>
          <w:bCs/>
          <w:kern w:val="0"/>
          <w:szCs w:val="21"/>
        </w:rPr>
        <w:t>产品</w:t>
      </w:r>
      <w:r>
        <w:rPr>
          <w:rFonts w:hint="eastAsia" w:ascii="黑体" w:hAnsi="黑体" w:eastAsia="黑体" w:cs="黑体"/>
          <w:kern w:val="0"/>
          <w:szCs w:val="21"/>
        </w:rPr>
        <w:t>，本金为10,000.00元，在理财</w:t>
      </w:r>
      <w:r>
        <w:rPr>
          <w:rFonts w:hint="eastAsia" w:ascii="黑体" w:hAnsi="黑体" w:eastAsia="黑体" w:cs="黑体"/>
          <w:bCs/>
          <w:kern w:val="0"/>
          <w:szCs w:val="21"/>
        </w:rPr>
        <w:t>产品资产</w:t>
      </w:r>
      <w:r>
        <w:rPr>
          <w:rFonts w:hint="eastAsia" w:ascii="黑体" w:hAnsi="黑体" w:eastAsia="黑体" w:cs="黑体"/>
          <w:kern w:val="0"/>
          <w:szCs w:val="21"/>
        </w:rPr>
        <w:t>组合项下资产全部亏损的最不利情况下，理财</w:t>
      </w:r>
      <w:r>
        <w:rPr>
          <w:rFonts w:hint="eastAsia" w:ascii="黑体" w:hAnsi="黑体" w:eastAsia="黑体" w:cs="黑体"/>
          <w:bCs/>
          <w:kern w:val="0"/>
          <w:szCs w:val="21"/>
        </w:rPr>
        <w:t>产品</w:t>
      </w:r>
      <w:r>
        <w:rPr>
          <w:rFonts w:hint="eastAsia" w:ascii="黑体" w:hAnsi="黑体" w:eastAsia="黑体" w:cs="黑体"/>
          <w:kern w:val="0"/>
          <w:szCs w:val="21"/>
        </w:rPr>
        <w:t>10,000.00元本金将全部损失</w:t>
      </w:r>
    </w:p>
    <w:bookmarkEnd w:id="8"/>
    <w:p>
      <w:pPr>
        <w:autoSpaceDE w:val="0"/>
        <w:autoSpaceDN w:val="0"/>
        <w:adjustRightInd w:val="0"/>
        <w:jc w:val="left"/>
        <w:rPr>
          <w:rFonts w:hint="eastAsia" w:ascii="黑体" w:hAnsi="黑体" w:eastAsia="黑体" w:cs="宋体"/>
          <w:b/>
          <w:bCs/>
          <w:kern w:val="0"/>
          <w:szCs w:val="21"/>
        </w:rPr>
      </w:pPr>
      <w:r>
        <w:rPr>
          <w:rFonts w:hint="eastAsia" w:ascii="黑体" w:hAnsi="黑体" w:eastAsia="黑体" w:cs="宋体"/>
          <w:b/>
          <w:bCs/>
          <w:kern w:val="0"/>
          <w:szCs w:val="21"/>
        </w:rPr>
        <w:t>（三）税收</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根据财政部、国家税务总局相关税收监管政策的规定，理财产品运营过程中发生的增值税应税行为，</w:t>
      </w:r>
      <w:r>
        <w:rPr>
          <w:rFonts w:ascii="黑体" w:hAnsi="黑体" w:eastAsia="黑体" w:cs="黑体"/>
          <w:b/>
          <w:kern w:val="0"/>
          <w:szCs w:val="21"/>
        </w:rPr>
        <w:t>以</w:t>
      </w:r>
      <w:r>
        <w:rPr>
          <w:rFonts w:hint="eastAsia" w:ascii="黑体" w:hAnsi="黑体" w:eastAsia="黑体" w:cs="黑体"/>
          <w:b/>
          <w:kern w:val="0"/>
          <w:szCs w:val="21"/>
        </w:rPr>
        <w:t>理财产品为增值税纳税主体，计算并缴纳增值税及附加税费。产品</w:t>
      </w:r>
      <w:r>
        <w:rPr>
          <w:rFonts w:ascii="黑体" w:hAnsi="黑体" w:eastAsia="黑体" w:cs="黑体"/>
          <w:b/>
          <w:kern w:val="0"/>
          <w:szCs w:val="21"/>
        </w:rPr>
        <w:t>管理人将按照相关规定计算应缴纳的税费，</w:t>
      </w:r>
      <w:r>
        <w:rPr>
          <w:rFonts w:hint="eastAsia" w:ascii="黑体" w:hAnsi="黑体" w:eastAsia="黑体" w:cs="黑体"/>
          <w:b/>
          <w:kern w:val="0"/>
          <w:szCs w:val="21"/>
        </w:rPr>
        <w:t>并</w:t>
      </w:r>
      <w:r>
        <w:rPr>
          <w:rFonts w:ascii="黑体" w:hAnsi="黑体" w:eastAsia="黑体" w:cs="黑体"/>
          <w:b/>
          <w:kern w:val="0"/>
          <w:szCs w:val="21"/>
        </w:rPr>
        <w:t>从本产品财产中</w:t>
      </w:r>
      <w:r>
        <w:rPr>
          <w:rFonts w:hint="eastAsia" w:ascii="黑体" w:hAnsi="黑体" w:eastAsia="黑体" w:cs="黑体"/>
          <w:b/>
          <w:kern w:val="0"/>
          <w:szCs w:val="21"/>
        </w:rPr>
        <w:t>扣除</w:t>
      </w:r>
      <w:r>
        <w:rPr>
          <w:rFonts w:ascii="黑体" w:hAnsi="黑体" w:eastAsia="黑体" w:cs="黑体"/>
          <w:b/>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、除法律法规</w:t>
      </w:r>
      <w:r>
        <w:rPr>
          <w:rFonts w:ascii="黑体" w:hAnsi="黑体" w:eastAsia="黑体" w:cs="黑体"/>
          <w:kern w:val="0"/>
          <w:szCs w:val="21"/>
        </w:rPr>
        <w:t>特别要求外，投资者应缴纳的</w:t>
      </w:r>
      <w:r>
        <w:rPr>
          <w:rFonts w:hint="eastAsia" w:ascii="黑体" w:hAnsi="黑体" w:eastAsia="黑体" w:cs="黑体"/>
          <w:kern w:val="0"/>
          <w:szCs w:val="21"/>
        </w:rPr>
        <w:t>税费</w:t>
      </w:r>
      <w:r>
        <w:rPr>
          <w:rFonts w:ascii="黑体" w:hAnsi="黑体" w:eastAsia="黑体" w:cs="黑体"/>
          <w:kern w:val="0"/>
          <w:szCs w:val="21"/>
        </w:rPr>
        <w:t>由投资者</w:t>
      </w:r>
      <w:r>
        <w:rPr>
          <w:rFonts w:hint="eastAsia" w:ascii="黑体" w:hAnsi="黑体" w:eastAsia="黑体" w:cs="黑体"/>
          <w:kern w:val="0"/>
          <w:szCs w:val="21"/>
        </w:rPr>
        <w:t>自行缴纳</w:t>
      </w:r>
      <w:r>
        <w:rPr>
          <w:rFonts w:ascii="黑体" w:hAnsi="黑体" w:eastAsia="黑体" w:cs="黑体"/>
          <w:kern w:val="0"/>
          <w:szCs w:val="21"/>
        </w:rPr>
        <w:t>，</w:t>
      </w:r>
      <w:r>
        <w:rPr>
          <w:rFonts w:hint="eastAsia" w:ascii="黑体" w:hAnsi="黑体" w:eastAsia="黑体" w:cs="黑体"/>
          <w:kern w:val="0"/>
          <w:szCs w:val="21"/>
        </w:rPr>
        <w:t>产品管理人</w:t>
      </w:r>
      <w:r>
        <w:rPr>
          <w:rFonts w:ascii="黑体" w:hAnsi="黑体" w:eastAsia="黑体" w:cs="黑体"/>
          <w:kern w:val="0"/>
          <w:szCs w:val="21"/>
        </w:rPr>
        <w:t>不承担代扣代缴或纳税的义务。</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、后续国家法律法规如对相关税收政策进行调整，产品管理人有权根据税收政策相应调整理财产品运营过程中发生的税费计算及</w:t>
      </w:r>
      <w:r>
        <w:rPr>
          <w:rFonts w:ascii="黑体" w:hAnsi="黑体" w:eastAsia="黑体" w:cs="黑体"/>
          <w:kern w:val="0"/>
          <w:szCs w:val="21"/>
        </w:rPr>
        <w:t>缴纳</w:t>
      </w:r>
      <w:r>
        <w:rPr>
          <w:rFonts w:hint="eastAsia" w:ascii="黑体" w:hAnsi="黑体" w:eastAsia="黑体" w:cs="黑体"/>
          <w:kern w:val="0"/>
          <w:szCs w:val="21"/>
        </w:rPr>
        <w:t>方式。</w:t>
      </w:r>
    </w:p>
    <w:p>
      <w:pPr>
        <w:autoSpaceDE w:val="0"/>
        <w:autoSpaceDN w:val="0"/>
        <w:adjustRightInd w:val="0"/>
        <w:ind w:firstLine="495" w:firstLineChars="236"/>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七、理财产品到期与终止</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、正常兑付</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投资者持有产品至产品到期日，投资者的理财产品投资本金（如有）和收益（如有）在产品到期后一次性支付。投资者理财产品投资本金（如有）和收益（如有）将于产品到期日后3个工作日内划转至投资者指定账户，如遇法定节假日或公休日则顺延。产品到期日至资金实际到账日之间，投资者资金不计息。</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2、提前终止</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本产品单一份额如遇存续规模大幅下降、存续份额低于1000万等情况，或产品管理人认为影响份额运作需要提前终止的其他情况，管理人有权根据产品实际运作情况对该份额进行终止，不晚于终止日当日以投资者可接收的方式对终止运作的份额持有人下发终止告知函，并在终止日后5个工作日内以投资者可接收的方式对终止运作的份额持有人下发终止公告，相关兑付安排规则将在终止公告中披露，前述份额终止情形不影响本文件其他条款的有效性。</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在本产品存续期内，如遇包括但不限于国家金融政策发生重大调整、金融市场发生重大波动、</w:t>
      </w:r>
      <w:r>
        <w:rPr>
          <w:rFonts w:ascii="黑体" w:hAnsi="黑体" w:eastAsia="黑体" w:cs="黑体"/>
          <w:b/>
          <w:kern w:val="0"/>
          <w:szCs w:val="21"/>
        </w:rPr>
        <w:t>不可抗力</w:t>
      </w:r>
      <w:r>
        <w:rPr>
          <w:rFonts w:hint="eastAsia" w:ascii="黑体" w:hAnsi="黑体" w:eastAsia="黑体" w:cs="黑体"/>
          <w:b/>
          <w:kern w:val="0"/>
          <w:szCs w:val="21"/>
        </w:rPr>
        <w:t>、产品存续规模低于产品最低成立规模或产品管理人认为影响产品运作需要提前终止产品的其他情况，产品管理人有权提前终止产品，并至少于提前终止日前</w:t>
      </w:r>
      <w:r>
        <w:rPr>
          <w:rFonts w:ascii="黑体" w:hAnsi="黑体" w:eastAsia="黑体" w:cs="黑体"/>
          <w:b/>
          <w:kern w:val="0"/>
          <w:szCs w:val="21"/>
        </w:rPr>
        <w:t>3</w:t>
      </w:r>
      <w:r>
        <w:rPr>
          <w:rFonts w:hint="eastAsia" w:ascii="黑体" w:hAnsi="黑体" w:eastAsia="黑体" w:cs="黑体"/>
          <w:b/>
          <w:kern w:val="0"/>
          <w:szCs w:val="21"/>
        </w:rPr>
        <w:t>个工作日进行公告，相关兑付</w:t>
      </w:r>
      <w:r>
        <w:rPr>
          <w:rFonts w:ascii="黑体" w:hAnsi="黑体" w:eastAsia="黑体" w:cs="黑体"/>
          <w:b/>
          <w:kern w:val="0"/>
          <w:szCs w:val="21"/>
        </w:rPr>
        <w:t>安排规则</w:t>
      </w:r>
      <w:r>
        <w:rPr>
          <w:rFonts w:hint="eastAsia" w:ascii="黑体" w:hAnsi="黑体" w:eastAsia="黑体" w:cs="黑体"/>
          <w:b/>
          <w:kern w:val="0"/>
          <w:szCs w:val="21"/>
        </w:rPr>
        <w:t>将在</w:t>
      </w:r>
      <w:r>
        <w:rPr>
          <w:rFonts w:ascii="黑体" w:hAnsi="黑体" w:eastAsia="黑体" w:cs="黑体"/>
          <w:b/>
          <w:kern w:val="0"/>
          <w:szCs w:val="21"/>
        </w:rPr>
        <w:t>公告</w:t>
      </w:r>
      <w:r>
        <w:rPr>
          <w:rFonts w:hint="eastAsia" w:ascii="黑体" w:hAnsi="黑体" w:eastAsia="黑体" w:cs="黑体"/>
          <w:b/>
          <w:kern w:val="0"/>
          <w:szCs w:val="21"/>
        </w:rPr>
        <w:t>中</w:t>
      </w:r>
      <w:r>
        <w:rPr>
          <w:rFonts w:ascii="黑体" w:hAnsi="黑体" w:eastAsia="黑体" w:cs="黑体"/>
          <w:b/>
          <w:kern w:val="0"/>
          <w:szCs w:val="21"/>
        </w:rPr>
        <w:t>披露。</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3、其他情况</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如果发生国家金融政策发生重大调整、流动性紧张、市场环境变化或不可抗力等特殊情形，造成本产品持有的基础资产无法及时、足额变现，产品管理人可以根据实际情况选择向投资者延迟兑付或者分次兑付，并于发生上述情形后的2个工作日内公告兑付方案。</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八、托管机构和销售机构</w:t>
      </w:r>
    </w:p>
    <w:p>
      <w:pPr>
        <w:autoSpaceDE w:val="0"/>
        <w:autoSpaceDN w:val="0"/>
        <w:adjustRightInd w:val="0"/>
        <w:jc w:val="left"/>
        <w:rPr>
          <w:rFonts w:hint="eastAsia" w:ascii="黑体" w:hAnsi="黑体" w:eastAsia="黑体" w:cs="宋体"/>
          <w:bCs/>
          <w:kern w:val="0"/>
          <w:szCs w:val="21"/>
        </w:rPr>
      </w:pPr>
      <w:r>
        <w:rPr>
          <w:rFonts w:hint="eastAsia" w:ascii="黑体" w:hAnsi="黑体" w:eastAsia="黑体" w:cs="宋体"/>
          <w:bCs/>
          <w:kern w:val="0"/>
          <w:szCs w:val="21"/>
        </w:rPr>
        <w:t>（一）托管机构基本信息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1、机构名称：宁波银行股份有限公司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客服热线：95574</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官方网站：www.nbcb.com.cn</w:t>
      </w:r>
    </w:p>
    <w:p>
      <w:pPr>
        <w:autoSpaceDE w:val="0"/>
        <w:autoSpaceDN w:val="0"/>
        <w:adjustRightInd w:val="0"/>
        <w:ind w:firstLine="420" w:firstLineChars="200"/>
        <w:jc w:val="left"/>
        <w:rPr>
          <w:rFonts w:hint="eastAsia" w:ascii="黑体" w:hAnsi="黑体" w:eastAsia="黑体" w:cs="宋体"/>
          <w:bCs/>
          <w:kern w:val="0"/>
          <w:szCs w:val="21"/>
        </w:rPr>
      </w:pPr>
      <w:r>
        <w:rPr>
          <w:rFonts w:hint="eastAsia" w:ascii="黑体" w:hAnsi="黑体" w:eastAsia="黑体" w:cs="宋体"/>
          <w:bCs/>
          <w:kern w:val="0"/>
          <w:szCs w:val="21"/>
        </w:rPr>
        <w:t>托管机构主要职责：</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1、安全托管理财资金及其所投资的资产或保管代表资产的权益凭证或财产清单；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2、为本产品开设独立的托管账户，不同托管账户中的资产应当相互独立；</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3、按照托管协议约定和产品管理人的投资指令，及时办理清算、交割事宜；</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4、记录理财资金划拨情况，保存产品管理人的资金用途说明；</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5、负责本产品财产的会计核算；</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6、建立与产品管理人的对账机制，核对本产品财产交易记录、资金和财产账目、资产净值等数据；</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7</w:t>
      </w:r>
      <w:r>
        <w:rPr>
          <w:rFonts w:hint="eastAsia" w:ascii="黑体" w:hAnsi="黑体" w:eastAsia="黑体" w:cs="黑体"/>
          <w:kern w:val="0"/>
          <w:szCs w:val="21"/>
        </w:rPr>
        <w:t>、监督本产品投资运作；</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8</w:t>
      </w:r>
      <w:r>
        <w:rPr>
          <w:rFonts w:hint="eastAsia" w:ascii="黑体" w:hAnsi="黑体" w:eastAsia="黑体" w:cs="黑体"/>
          <w:kern w:val="0"/>
          <w:szCs w:val="21"/>
        </w:rPr>
        <w:t>、办理与本产品托管业务活动相关的信息披露事项；</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9</w:t>
      </w:r>
      <w:r>
        <w:rPr>
          <w:rFonts w:hint="eastAsia" w:ascii="黑体" w:hAnsi="黑体" w:eastAsia="黑体" w:cs="黑体"/>
          <w:kern w:val="0"/>
          <w:szCs w:val="21"/>
        </w:rPr>
        <w:t>、将本产</w:t>
      </w:r>
      <w:r>
        <w:rPr>
          <w:rFonts w:ascii="黑体" w:hAnsi="黑体" w:eastAsia="黑体" w:cs="黑体"/>
          <w:kern w:val="0"/>
          <w:szCs w:val="21"/>
        </w:rPr>
        <w:t>品</w:t>
      </w:r>
      <w:r>
        <w:rPr>
          <w:rFonts w:hint="eastAsia" w:ascii="黑体" w:hAnsi="黑体" w:eastAsia="黑体" w:cs="黑体"/>
          <w:kern w:val="0"/>
          <w:szCs w:val="21"/>
        </w:rPr>
        <w:t>托管业务活动的记录、账册、报表和其他相关资料保存15年以上；</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10</w:t>
      </w:r>
      <w:r>
        <w:rPr>
          <w:rFonts w:hint="eastAsia" w:ascii="黑体" w:hAnsi="黑体" w:eastAsia="黑体" w:cs="黑体"/>
          <w:kern w:val="0"/>
          <w:szCs w:val="21"/>
        </w:rPr>
        <w:t>、对本产品投资信息和相关资料承担保密责任，除法律、行政法规、规章规定、审计要求或者合同约定外，不得向任何机构或者个人提供相关信息和资料；</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11</w:t>
      </w:r>
      <w:r>
        <w:rPr>
          <w:rFonts w:hint="eastAsia" w:ascii="黑体" w:hAnsi="黑体" w:eastAsia="黑体" w:cs="黑体"/>
          <w:kern w:val="0"/>
          <w:szCs w:val="21"/>
        </w:rPr>
        <w:t>、每季度向产品管理人出具本产品的托管业务报告；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2</w:t>
      </w:r>
      <w:r>
        <w:rPr>
          <w:rFonts w:hint="eastAsia" w:ascii="黑体" w:hAnsi="黑体" w:eastAsia="黑体" w:cs="黑体"/>
          <w:kern w:val="0"/>
          <w:szCs w:val="21"/>
        </w:rPr>
        <w:t>、法律、法规、国务院银行业监督管理机构规定的其他职责。</w:t>
      </w:r>
    </w:p>
    <w:p>
      <w:pPr>
        <w:autoSpaceDE w:val="0"/>
        <w:autoSpaceDN w:val="0"/>
        <w:adjustRightInd w:val="0"/>
        <w:jc w:val="left"/>
        <w:rPr>
          <w:rFonts w:hint="eastAsia" w:ascii="黑体" w:hAnsi="黑体" w:eastAsia="黑体" w:cs="宋体"/>
          <w:kern w:val="0"/>
          <w:szCs w:val="21"/>
        </w:rPr>
      </w:pPr>
      <w:bookmarkStart w:id="9" w:name="_Hlk33106867"/>
      <w:r>
        <w:rPr>
          <w:rFonts w:hint="eastAsia" w:ascii="黑体" w:hAnsi="黑体" w:eastAsia="黑体" w:cs="宋体"/>
          <w:kern w:val="0"/>
          <w:szCs w:val="21"/>
        </w:rPr>
        <w:t>（二）销售机构基本信息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1、机构名称：宁银理财有限责任公司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400-099-5574</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www.wmbnb.com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2、机构名称：宁波银行股份有限公司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95574</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www.nbcb.com.cn</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3、机构名称：威海银行股份有限公司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4000096636</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www.whccb.com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4、机构名称：交通银行股份有限公司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95559</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www.bankcomm.com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5、机构名称：平安银行股份有限公司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95511-3-8</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www.bank.pingan.com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6、机构名称：广发银行股份有限公司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400-830-8003</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www.cgbchina.com.cn</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7、机构名称：</w:t>
      </w:r>
      <w:bookmarkStart w:id="10" w:name="OLE_LINK7"/>
      <w:r>
        <w:rPr>
          <w:rFonts w:hint="eastAsia" w:ascii="黑体" w:hAnsi="黑体" w:eastAsia="黑体" w:cs="宋体"/>
          <w:kern w:val="0"/>
          <w:szCs w:val="21"/>
        </w:rPr>
        <w:t>深圳前海微众银行股份有限公司</w:t>
      </w:r>
      <w:bookmarkEnd w:id="10"/>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95384</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www.webank.com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8、机构名称：中国光大银行股份有限公司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95595</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www.cebbank.com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9、机构名称：潍坊银行股份有限公司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400-61-96588</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www.bankwf.com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销售机构主要职责：</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1、严格遵循国家法律、法规及其他有关规定和理财产品销售文件的规定，办理本产品销售业务，勤勉、尽责地履行销售机构的职责；</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2、应保证在履行理财产品销售文件过程中占有、控制的理财产品资产或理财产品份额持有人的资产与销售机构自身资产相互独立，分别建账，分别管理；</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3、对投资者身份信息的真实性进行验证；</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4、对非机构投资者严谨客观实施风险承受能力评估并持续跟进，根据投资者的风险承受能力销售不同风险等级的产品，把合适的理财产品销售给合适的投资者；</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5、向投资者提供持续信息服务，包括但不限于以下方面:及时向投资者告知申赎理财产品的确认日期、确认份额和金额等信息；定期向投资者提供其所持有的理财产品基本信息；及时向投资者告知对其决策有重大影响的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6、充分了解面向特定对象销售的理财产品的投资者信息，收集、核验投资者金融资产证明、收入证明或纳税凭证等材料；</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7、根据反洗钱、反恐怖融资及非居民金融账户涉税信息尽职调查等相关法律法规要求识别客户身份；</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8、按照法律法规规定、理财产品销售文件约定办理理财产品的认（申）购、赎回，归集、划转理财产品销售结算资金，确保理财产品销售结算资金安全、及时划付。通过投资者指定账户办理理财产品认（申）购和赎回的款项收付，并将赎回、分红及认（申）购不成功的相应款项划入投资者指定账户，制作、留存款项收付的有效凭证；</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9、完整记录和保存销售业务活动信息，确保记录信息全面、准确和不可篡改；</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10、根据有关法律法规、监管规定和理财产品销售文件的要求，及时、充分披露本产品的相关信息；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11、建立健全档案管理制度，妥善保管投资者理财产品销售相关资料，保管年限不得低于法规规定的年限；</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12、法律、法规、国务院银行业监督管理机构规定、理财产品销售文件约定的其他职责。</w:t>
      </w:r>
    </w:p>
    <w:p>
      <w:pPr>
        <w:autoSpaceDE w:val="0"/>
        <w:autoSpaceDN w:val="0"/>
        <w:adjustRightInd w:val="0"/>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九、投资合作机构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投资合作机构的主要职责为进行受托资金的投资管理，根据合同约定从事受托投资或提供投资顾问等服务，具体职责以产品管理人与投资合作机构签署的合同为准</w:t>
      </w:r>
      <w:bookmarkEnd w:id="9"/>
      <w:r>
        <w:rPr>
          <w:rFonts w:hint="eastAsia" w:ascii="黑体" w:hAnsi="黑体" w:eastAsia="黑体" w:cs="黑体"/>
          <w:kern w:val="0"/>
          <w:szCs w:val="21"/>
        </w:rPr>
        <w:t>。</w:t>
      </w:r>
    </w:p>
    <w:p>
      <w:pPr>
        <w:autoSpaceDE w:val="0"/>
        <w:autoSpaceDN w:val="0"/>
        <w:adjustRightInd w:val="0"/>
        <w:ind w:firstLine="329" w:firstLineChars="157"/>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十、信息披露</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w:t>
      </w:r>
      <w:r>
        <w:rPr>
          <w:rFonts w:ascii="黑体" w:hAnsi="黑体" w:eastAsia="黑体" w:cs="宋体"/>
          <w:kern w:val="0"/>
          <w:szCs w:val="21"/>
        </w:rPr>
        <w:t>）信息披露内容</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产品管理人将于产品募集期间、存续期间和终止时，通过宁银理财官网（www.wmbnb.com)、宁银理财直销app、宁银理财相关产品代理销售机构官方渠道或其他适当的方式披露以下产品信息：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1、理财产品销售文件，包括《理财产品说明书》、《风险揭示书》、《销售（代理销售）协议书》、《投资协议书》和《投资者权益须知》等有关文件，以及对以上文件的有效修改或补充；</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2、发行公告，包括本产品成立日期和募集规模等信息，产品管理人将在本理财产品成立后5个工作日内披露产品发行公告；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定期报告，包括本产品的存续规模、收益表现，并分别列示直接和间接投资的资产种类、投资比例、投资组合的流动性风险分析，前十项资产具体名称、规模和比例，以及在半年和年度报告中产品前10名投资者的类别、持有份额及占总份额的比例等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存续期间，如出现单一投资者持有产品份额达到或者超过该产品总份额20%的情形，为保障其他投资者的权益，产品管理人将在定期报告中披露该投资者的类别、持有份额及占比、持有份额变化情况及产品风险等信息，国家金融监督管理总局认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管理人将在每个季度结束之日起15个工作日内、上半年结束之日起60个工作日内、每年结束之日起90个工作日内披露本理财产品的季度、半年度和年度报告，如果本理财产品成立不足90个工作日或者剩余存续期不超过90个工作日的，产品管理人可以不编制产品当期的季度、半年度和年度报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4、到期公告，包括本产品的存续期限、终止日期、收费情况和收益分配情况等信息，产品管理人将在本理财产品终止后5个工作日内披露产品到期公告；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5、重大事项公告；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6、临时性信息披露；</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7、国务院银行业监督管理机构规定的其他信息；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8、产品管理人认为需要披露的其他信息。</w:t>
      </w: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（二</w:t>
      </w:r>
      <w:r>
        <w:rPr>
          <w:rFonts w:ascii="黑体" w:hAnsi="黑体" w:eastAsia="黑体" w:cs="宋体"/>
          <w:b/>
          <w:kern w:val="0"/>
          <w:szCs w:val="21"/>
        </w:rPr>
        <w:t>）</w:t>
      </w:r>
      <w:r>
        <w:rPr>
          <w:rFonts w:hint="eastAsia" w:ascii="黑体" w:hAnsi="黑体" w:eastAsia="黑体" w:cs="宋体"/>
          <w:b/>
          <w:kern w:val="0"/>
          <w:szCs w:val="21"/>
        </w:rPr>
        <w:t>投资者同意，产品管理人或销售机构通过</w:t>
      </w:r>
      <w:r>
        <w:rPr>
          <w:rFonts w:ascii="黑体" w:hAnsi="黑体" w:eastAsia="黑体" w:cs="宋体"/>
          <w:b/>
          <w:kern w:val="0"/>
          <w:szCs w:val="21"/>
        </w:rPr>
        <w:t>上述</w:t>
      </w:r>
      <w:r>
        <w:rPr>
          <w:rFonts w:hint="eastAsia" w:ascii="黑体" w:hAnsi="黑体" w:eastAsia="黑体" w:cs="宋体"/>
          <w:b/>
          <w:kern w:val="0"/>
          <w:szCs w:val="21"/>
        </w:rPr>
        <w:t>方式及</w:t>
      </w:r>
      <w:r>
        <w:rPr>
          <w:rFonts w:ascii="黑体" w:hAnsi="黑体" w:eastAsia="黑体" w:cs="宋体"/>
          <w:b/>
          <w:kern w:val="0"/>
          <w:szCs w:val="21"/>
        </w:rPr>
        <w:t>频率</w:t>
      </w:r>
      <w:r>
        <w:rPr>
          <w:rFonts w:hint="eastAsia" w:ascii="黑体" w:hAnsi="黑体" w:eastAsia="黑体" w:cs="宋体"/>
          <w:b/>
          <w:kern w:val="0"/>
          <w:szCs w:val="21"/>
        </w:rPr>
        <w:t>进行信息披露，</w:t>
      </w:r>
      <w:r>
        <w:rPr>
          <w:rFonts w:ascii="黑体" w:hAnsi="黑体" w:eastAsia="黑体" w:cs="宋体"/>
          <w:b/>
          <w:kern w:val="0"/>
          <w:szCs w:val="21"/>
        </w:rPr>
        <w:t>视为完全履行信息</w:t>
      </w:r>
      <w:r>
        <w:rPr>
          <w:rFonts w:hint="eastAsia" w:ascii="黑体" w:hAnsi="黑体" w:eastAsia="黑体" w:cs="宋体"/>
          <w:b/>
          <w:kern w:val="0"/>
          <w:szCs w:val="21"/>
        </w:rPr>
        <w:t>披露</w:t>
      </w:r>
      <w:r>
        <w:rPr>
          <w:rFonts w:ascii="黑体" w:hAnsi="黑体" w:eastAsia="黑体" w:cs="宋体"/>
          <w:b/>
          <w:kern w:val="0"/>
          <w:szCs w:val="21"/>
        </w:rPr>
        <w:t>义务</w:t>
      </w:r>
      <w:r>
        <w:rPr>
          <w:rFonts w:hint="eastAsia" w:ascii="黑体" w:hAnsi="黑体" w:eastAsia="黑体" w:cs="宋体"/>
          <w:b/>
          <w:kern w:val="0"/>
          <w:szCs w:val="21"/>
        </w:rPr>
        <w:t>，如果投资者未及时查询，或由于通讯故障、非产品管理人原因的系统故障以及其他不可抗力等因素的影响</w:t>
      </w:r>
      <w:r>
        <w:rPr>
          <w:rFonts w:ascii="黑体" w:hAnsi="黑体" w:eastAsia="黑体" w:cs="宋体"/>
          <w:b/>
          <w:kern w:val="0"/>
          <w:szCs w:val="21"/>
        </w:rPr>
        <w:t>,致使</w:t>
      </w:r>
      <w:r>
        <w:rPr>
          <w:rFonts w:hint="eastAsia" w:ascii="黑体" w:hAnsi="黑体" w:eastAsia="黑体" w:cs="宋体"/>
          <w:b/>
          <w:kern w:val="0"/>
          <w:szCs w:val="21"/>
        </w:rPr>
        <w:t>投资者无法及时了解产品信息，因此而产生的（包括但不限于因未及时获知信息而错过资金使用和再投资的机会等）全部责任和风险，由投资者自行承担。</w:t>
      </w:r>
    </w:p>
    <w:p>
      <w:pPr>
        <w:autoSpaceDE w:val="0"/>
        <w:autoSpaceDN w:val="0"/>
        <w:adjustRightInd w:val="0"/>
        <w:ind w:firstLine="329" w:firstLineChars="157"/>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十一、特别提示</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1、</w:t>
      </w:r>
      <w:r>
        <w:rPr>
          <w:rFonts w:hint="eastAsia" w:ascii="黑体" w:hAnsi="黑体" w:eastAsia="黑体" w:cs="宋体"/>
          <w:b/>
          <w:kern w:val="0"/>
          <w:szCs w:val="21"/>
        </w:rPr>
        <w:t>本产品业绩比较基准、产品的过往业绩仅供投资者参考，并不作为产品管理人向投资者支付本产品本金</w:t>
      </w:r>
      <w:r>
        <w:rPr>
          <w:rFonts w:ascii="黑体" w:hAnsi="黑体" w:eastAsia="黑体" w:cs="宋体"/>
          <w:b/>
          <w:kern w:val="0"/>
          <w:szCs w:val="21"/>
        </w:rPr>
        <w:t>或</w:t>
      </w:r>
      <w:r>
        <w:rPr>
          <w:rFonts w:hint="eastAsia" w:ascii="黑体" w:hAnsi="黑体" w:eastAsia="黑体" w:cs="宋体"/>
          <w:b/>
          <w:kern w:val="0"/>
          <w:szCs w:val="21"/>
        </w:rPr>
        <w:t>收益的承诺；投资者所能获得的最终收益以产品实际</w:t>
      </w:r>
      <w:r>
        <w:rPr>
          <w:rFonts w:ascii="黑体" w:hAnsi="黑体" w:eastAsia="黑体" w:cs="宋体"/>
          <w:b/>
          <w:kern w:val="0"/>
          <w:szCs w:val="21"/>
        </w:rPr>
        <w:t>情况</w:t>
      </w:r>
      <w:r>
        <w:rPr>
          <w:rFonts w:hint="eastAsia" w:ascii="黑体" w:hAnsi="黑体" w:eastAsia="黑体" w:cs="宋体"/>
          <w:b/>
          <w:kern w:val="0"/>
          <w:szCs w:val="21"/>
        </w:rPr>
        <w:t>为准。</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2</w:t>
      </w:r>
      <w:r>
        <w:rPr>
          <w:rFonts w:hint="eastAsia" w:ascii="黑体" w:hAnsi="黑体" w:eastAsia="黑体" w:cs="宋体"/>
          <w:b/>
          <w:kern w:val="0"/>
          <w:szCs w:val="21"/>
        </w:rPr>
        <w:t>、投资者在投资前，请仔细阅读本说明书，并作出独立的投资决策。</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3、产品管理人</w:t>
      </w:r>
      <w:r>
        <w:rPr>
          <w:rFonts w:hint="eastAsia" w:ascii="黑体" w:hAnsi="黑体" w:eastAsia="黑体" w:cs="宋体"/>
          <w:b/>
          <w:kern w:val="0"/>
          <w:szCs w:val="21"/>
        </w:rPr>
        <w:t>将恪守勤勉尽责的原则，合理配置资产组合，为投资者提供专业化的理财服务。</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4</w:t>
      </w:r>
      <w:r>
        <w:rPr>
          <w:rFonts w:hint="eastAsia" w:ascii="黑体" w:hAnsi="黑体" w:eastAsia="黑体" w:cs="宋体"/>
          <w:b/>
          <w:kern w:val="0"/>
          <w:szCs w:val="21"/>
        </w:rPr>
        <w:t>、投资者应密切关注产品管理人或销售机构发布的与本产品有关的信息披露公告，以免造成不必要的损失。</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5、</w:t>
      </w:r>
      <w:r>
        <w:rPr>
          <w:rFonts w:hint="eastAsia" w:ascii="黑体" w:hAnsi="黑体" w:eastAsia="黑体" w:cs="宋体"/>
          <w:b/>
          <w:kern w:val="0"/>
          <w:szCs w:val="21"/>
        </w:rPr>
        <w:t>在本产品的实际运作管理过程中，若相关法律法规或政策另有规定，从其规定。</w:t>
      </w:r>
    </w:p>
    <w:p>
      <w:pPr>
        <w:autoSpaceDE w:val="0"/>
        <w:autoSpaceDN w:val="0"/>
        <w:adjustRightInd w:val="0"/>
        <w:ind w:firstLine="422" w:firstLineChars="200"/>
        <w:jc w:val="left"/>
        <w:rPr>
          <w:rFonts w:hint="eastAsia" w:ascii="黑体" w:hAnsi="黑体" w:eastAsia="黑体" w:cs="宋体"/>
          <w:b/>
          <w:kern w:val="0"/>
          <w:szCs w:val="21"/>
        </w:rPr>
      </w:pPr>
      <w:r>
        <w:rPr>
          <w:rFonts w:hint="eastAsia" w:ascii="黑体" w:hAnsi="黑体" w:eastAsia="黑体" w:cs="宋体"/>
          <w:b/>
          <w:kern w:val="0"/>
          <w:szCs w:val="21"/>
        </w:rPr>
        <w:t>6、</w:t>
      </w:r>
      <w:r>
        <w:rPr>
          <w:rFonts w:ascii="黑体" w:hAnsi="黑体" w:eastAsia="黑体" w:cs="宋体"/>
          <w:b/>
          <w:kern w:val="0"/>
          <w:szCs w:val="21"/>
        </w:rPr>
        <w:t>其他</w:t>
      </w:r>
      <w:r>
        <w:rPr>
          <w:rFonts w:hint="eastAsia" w:ascii="黑体" w:hAnsi="黑体" w:eastAsia="黑体" w:cs="宋体"/>
          <w:b/>
          <w:kern w:val="0"/>
          <w:szCs w:val="21"/>
        </w:rPr>
        <w:t>：</w:t>
      </w:r>
      <w:r>
        <w:rPr>
          <w:rFonts w:hint="eastAsia" w:ascii="黑体" w:hAnsi="黑体" w:eastAsia="黑体"/>
          <w:b/>
          <w:szCs w:val="21"/>
        </w:rPr>
        <w:t>无</w:t>
      </w:r>
    </w:p>
    <w:p>
      <w:pPr>
        <w:autoSpaceDE w:val="0"/>
        <w:autoSpaceDN w:val="0"/>
        <w:adjustRightInd w:val="0"/>
        <w:ind w:firstLine="420" w:firstLineChars="200"/>
        <w:jc w:val="left"/>
        <w:rPr>
          <w:rFonts w:hint="eastAsia" w:ascii="黑体" w:hAnsi="黑体" w:eastAsia="黑体" w:cs="宋体"/>
          <w:kern w:val="0"/>
          <w:szCs w:val="21"/>
        </w:rPr>
      </w:pPr>
    </w:p>
    <w:p>
      <w:pPr>
        <w:rPr>
          <w:rFonts w:hint="eastAsia" w:ascii="黑体" w:hAnsi="黑体" w:eastAsia="黑体"/>
          <w:b/>
          <w:szCs w:val="21"/>
        </w:rPr>
      </w:pPr>
      <w:r>
        <w:rPr>
          <w:rFonts w:hint="eastAsia" w:ascii="黑体" w:hAnsi="黑体" w:eastAsia="黑体"/>
          <w:b/>
          <w:szCs w:val="21"/>
        </w:rPr>
        <w:t>十二、其他</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1、</w:t>
      </w:r>
      <w:r>
        <w:rPr>
          <w:rFonts w:hint="eastAsia" w:ascii="黑体" w:hAnsi="黑体" w:eastAsia="黑体"/>
          <w:b/>
          <w:szCs w:val="21"/>
        </w:rPr>
        <w:t>除</w:t>
      </w:r>
      <w:r>
        <w:rPr>
          <w:rFonts w:ascii="黑体" w:hAnsi="黑体" w:eastAsia="黑体"/>
          <w:b/>
          <w:szCs w:val="21"/>
        </w:rPr>
        <w:t>产品管理人</w:t>
      </w:r>
      <w:r>
        <w:rPr>
          <w:rFonts w:hint="eastAsia" w:ascii="黑体" w:hAnsi="黑体" w:eastAsia="黑体"/>
          <w:b/>
          <w:szCs w:val="21"/>
        </w:rPr>
        <w:t>同意外</w:t>
      </w:r>
      <w:r>
        <w:rPr>
          <w:rFonts w:ascii="黑体" w:hAnsi="黑体" w:eastAsia="黑体"/>
          <w:b/>
          <w:szCs w:val="21"/>
        </w:rPr>
        <w:t>，本产品</w:t>
      </w:r>
      <w:r>
        <w:rPr>
          <w:rFonts w:hint="eastAsia" w:ascii="黑体" w:hAnsi="黑体" w:eastAsia="黑体"/>
          <w:b/>
          <w:szCs w:val="21"/>
        </w:rPr>
        <w:t>不</w:t>
      </w:r>
      <w:r>
        <w:rPr>
          <w:rFonts w:ascii="黑体" w:hAnsi="黑体" w:eastAsia="黑体"/>
          <w:b/>
          <w:szCs w:val="21"/>
        </w:rPr>
        <w:t>允许投资者</w:t>
      </w:r>
      <w:r>
        <w:rPr>
          <w:rFonts w:hint="eastAsia" w:ascii="黑体" w:hAnsi="黑体" w:eastAsia="黑体"/>
          <w:b/>
          <w:szCs w:val="21"/>
        </w:rPr>
        <w:t>办理</w:t>
      </w:r>
      <w:r>
        <w:rPr>
          <w:rFonts w:ascii="黑体" w:hAnsi="黑体" w:eastAsia="黑体"/>
          <w:b/>
          <w:szCs w:val="21"/>
        </w:rPr>
        <w:t>提前赎回</w:t>
      </w:r>
      <w:r>
        <w:rPr>
          <w:rFonts w:hint="eastAsia" w:ascii="黑体" w:hAnsi="黑体" w:eastAsia="黑体"/>
          <w:b/>
          <w:szCs w:val="21"/>
        </w:rPr>
        <w:t>。</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2</w:t>
      </w:r>
      <w:r>
        <w:rPr>
          <w:rFonts w:hint="eastAsia" w:ascii="黑体" w:hAnsi="黑体" w:eastAsia="黑体"/>
          <w:b/>
          <w:szCs w:val="21"/>
        </w:rPr>
        <w:t>、</w:t>
      </w:r>
      <w:r>
        <w:rPr>
          <w:rFonts w:ascii="黑体" w:hAnsi="黑体" w:eastAsia="黑体"/>
          <w:b/>
          <w:szCs w:val="21"/>
        </w:rPr>
        <w:t>其他</w:t>
      </w:r>
      <w:r>
        <w:rPr>
          <w:rFonts w:hint="eastAsia" w:ascii="黑体" w:hAnsi="黑体" w:eastAsia="黑体"/>
          <w:b/>
          <w:szCs w:val="21"/>
        </w:rPr>
        <w:t>：无</w:t>
      </w:r>
    </w:p>
    <w:p>
      <w:pPr>
        <w:autoSpaceDE w:val="0"/>
        <w:autoSpaceDN w:val="0"/>
        <w:adjustRightInd w:val="0"/>
        <w:ind w:firstLine="420" w:firstLineChars="200"/>
        <w:jc w:val="left"/>
        <w:rPr>
          <w:rFonts w:hint="eastAsia" w:ascii="黑体" w:hAnsi="黑体" w:eastAsia="黑体"/>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以下内容由投资者确认并</w:t>
      </w:r>
      <w:r>
        <w:rPr>
          <w:rFonts w:ascii="黑体" w:hAnsi="黑体" w:eastAsia="黑体"/>
          <w:b/>
          <w:szCs w:val="21"/>
        </w:rPr>
        <w:t>签字</w:t>
      </w:r>
      <w:r>
        <w:rPr>
          <w:rFonts w:hint="eastAsia" w:ascii="黑体" w:hAnsi="黑体" w:eastAsia="黑体"/>
          <w:b/>
          <w:szCs w:val="21"/>
        </w:rPr>
        <w:t>（机构投资者需盖章），如通过线上渠道购买，认（申）购确认即视为投资者同意并确认下述内容：</w:t>
      </w:r>
    </w:p>
    <w:p>
      <w:pPr>
        <w:autoSpaceDE w:val="0"/>
        <w:autoSpaceDN w:val="0"/>
        <w:adjustRightInd w:val="0"/>
        <w:ind w:firstLine="420" w:firstLineChars="200"/>
        <w:jc w:val="left"/>
        <w:rPr>
          <w:rFonts w:hint="eastAsia" w:ascii="黑体" w:hAnsi="黑体" w:eastAsia="黑体"/>
          <w:szCs w:val="21"/>
        </w:rPr>
      </w:pPr>
      <w:r>
        <w:rPr>
          <w:rFonts w:hint="eastAsia" w:ascii="黑体" w:hAnsi="黑体" w:eastAsia="黑体"/>
          <w:szCs w:val="21"/>
        </w:rPr>
        <w:t>声明：本人/本机构充分阅读本</w:t>
      </w:r>
      <w:r>
        <w:rPr>
          <w:rFonts w:ascii="黑体" w:hAnsi="黑体" w:eastAsia="黑体"/>
          <w:szCs w:val="21"/>
        </w:rPr>
        <w:t>说明书及</w:t>
      </w:r>
      <w:r>
        <w:rPr>
          <w:rFonts w:hint="eastAsia" w:ascii="黑体" w:hAnsi="黑体" w:eastAsia="黑体"/>
          <w:szCs w:val="21"/>
        </w:rPr>
        <w:t>本理财产品的《风险揭示书》、《销售（代理销售）协议书》、《投资协议书》、《投资者权益须知》等理财产品销售文件，已全面、准确地理解本产品，充分认识到投资本产品需要承担的风险，并自愿承担此风险。</w:t>
      </w:r>
    </w:p>
    <w:p>
      <w:pPr>
        <w:autoSpaceDE w:val="0"/>
        <w:autoSpaceDN w:val="0"/>
        <w:adjustRightInd w:val="0"/>
        <w:ind w:firstLine="420" w:firstLineChars="200"/>
        <w:jc w:val="left"/>
        <w:rPr>
          <w:rFonts w:hint="eastAsia" w:ascii="黑体" w:hAnsi="黑体" w:eastAsia="黑体"/>
          <w:szCs w:val="21"/>
        </w:rPr>
      </w:pPr>
    </w:p>
    <w:p>
      <w:pPr>
        <w:autoSpaceDE w:val="0"/>
        <w:autoSpaceDN w:val="0"/>
        <w:adjustRightInd w:val="0"/>
        <w:ind w:firstLine="422" w:firstLineChars="200"/>
        <w:jc w:val="left"/>
        <w:rPr>
          <w:rFonts w:hint="eastAsia" w:ascii="黑体" w:hAnsi="黑体" w:eastAsia="黑体"/>
          <w:szCs w:val="21"/>
        </w:rPr>
      </w:pPr>
      <w:r>
        <w:rPr>
          <w:rFonts w:hint="eastAsia" w:ascii="黑体" w:hAnsi="黑体" w:eastAsia="黑体"/>
          <w:b/>
          <w:szCs w:val="21"/>
        </w:rPr>
        <w:t>(自然人签署适用)</w:t>
      </w: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 xml:space="preserve">投资者签字（或盖章）____________                  </w:t>
      </w: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（机构投资者签署适用）</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公章（或经公章授权的其他有效印鉴）：</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法定代表人（负责人）或授权代理人签字/签章：</w:t>
      </w: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日期_______________</w:t>
      </w:r>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ËÎÌå">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F4063C"/>
    <w:multiLevelType w:val="multilevel"/>
    <w:tmpl w:val="53F4063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187482"/>
    <w:rsid w:val="1A18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 w:type="table" w:customStyle="1" w:styleId="6">
    <w:name w:val="网格型2"/>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网格型3"/>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2025-08-05T07:15:00Z</dcterms:created>
  <dc:creator>Lenovo</dc:creator>
  <cp:lastModifiedBy>Lenovo</cp:lastModifiedBy>
  <dcterms:modified xsi:type="dcterms:W3CDTF">2025-08-05T07:17:06Z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A9B6B5CD82484B8F99D1AEDF8BB10C11</vt:lpwstr>
  </property>
</Properties>
</file>