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0" w:afterAutospacing="0"/>
        <w:jc w:val="center"/>
        <w:rPr>
          <w:rFonts w:hint="eastAsia" w:ascii="楷体" w:hAnsi="楷体" w:eastAsia="楷体"/>
          <w:b/>
          <w:sz w:val="36"/>
          <w:szCs w:val="36"/>
        </w:rPr>
      </w:pPr>
      <w:bookmarkStart w:id="0" w:name="_GoBack"/>
      <w:bookmarkEnd w:id="0"/>
      <w:r>
        <w:rPr>
          <w:rFonts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-334645</wp:posOffset>
                </wp:positionH>
                <wp:positionV relativeFrom="paragraph">
                  <wp:posOffset>61595</wp:posOffset>
                </wp:positionV>
                <wp:extent cx="5931535" cy="2476500"/>
                <wp:effectExtent l="4445" t="4445" r="7620" b="14605"/>
                <wp:wrapSquare wrapText="bothSides"/>
                <wp:docPr id="1" name="文本框 3"/>
                <wp:cNvGraphicFramePr/>
                <a:graphic xmlns:a="http://schemas.openxmlformats.org/drawingml/2006/main">
                  <a:graphicData uri="http://schemas.microsoft.com/office/word/2010/wordprocessingShape">
                    <wps:wsp>
                      <wps:cNvSpPr txBox="1"/>
                      <wps:spPr>
                        <a:xfrm>
                          <a:off x="0" y="0"/>
                          <a:ext cx="5931535" cy="2476500"/>
                        </a:xfrm>
                        <a:prstGeom prst="rect">
                          <a:avLst/>
                        </a:prstGeom>
                        <a:no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wrap="square" upright="1"/>
                    </wps:wsp>
                  </a:graphicData>
                </a:graphic>
              </wp:anchor>
            </w:drawing>
          </mc:Choice>
          <mc:Fallback>
            <w:pict>
              <v:shape id="文本框 3" o:spid="_x0000_s1026" o:spt="202" type="#_x0000_t202" style="position:absolute;left:0pt;margin-left:-26.35pt;margin-top:4.85pt;height:195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c5WjWAAAACQEAAA8AAAAAAAAAAQAg&#10;AAAAIgAAAGRycy9kb3ducmV2LnhtbFBLAQIUABQAAAAIAIdO4kDSEF4HEAIAABwEAAAOAAAAAAAA&#10;AAEAIAAAACUBAABkcnMvZTJvRG9jLnhtbFBLBQYAAAAABgAGAFkBAACn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恒源6月定开11期</w:t>
      </w:r>
      <w:r>
        <w:rPr>
          <w:rFonts w:hint="eastAsia" w:ascii="楷体" w:hAnsi="楷体" w:eastAsia="楷体"/>
          <w:b/>
          <w:sz w:val="36"/>
          <w:szCs w:val="36"/>
        </w:rPr>
        <w:t>”理财产品合同</w:t>
      </w:r>
    </w:p>
    <w:p>
      <w:pPr>
        <w:pStyle w:val="12"/>
        <w:spacing w:before="0" w:beforeAutospacing="0" w:after="0" w:afterAutospacing="0" w:line="360" w:lineRule="auto"/>
        <w:jc w:val="center"/>
        <w:rPr>
          <w:rFonts w:hint="eastAsia" w:ascii="楷体" w:hAnsi="楷体" w:eastAsia="楷体"/>
          <w:b/>
          <w:lang w:val="en-US" w:eastAsia="zh-CN"/>
        </w:rPr>
      </w:pPr>
      <w:r>
        <w:rPr>
          <w:rFonts w:hint="eastAsia" w:ascii="楷体" w:hAnsi="楷体" w:eastAsia="楷体"/>
          <w:b/>
          <w:sz w:val="32"/>
          <w:szCs w:val="32"/>
        </w:rPr>
        <w:t>理财非存款、产品有风险、投资须谨慎</w:t>
      </w:r>
    </w:p>
    <w:p>
      <w:pPr>
        <w:pStyle w:val="12"/>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7</w:t>
      </w:r>
      <w:r>
        <w:rPr>
          <w:rFonts w:hint="eastAsia" w:ascii="楷体" w:hAnsi="楷体" w:eastAsia="楷体"/>
          <w:b/>
        </w:rPr>
        <w:t>月版）</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恒源6月定开11期</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恒源6月定开11期</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0"/>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0"/>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2"/>
        <w:spacing w:before="156" w:beforeLines="5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pageBreakBefore/>
        <w:spacing w:before="0" w:beforeAutospacing="0" w:after="0" w:afterAutospacing="0" w:line="360" w:lineRule="auto"/>
        <w:jc w:val="center"/>
        <w:outlineLvl w:val="0"/>
        <w:rPr>
          <w:rFonts w:hint="eastAsia" w:ascii="楷体" w:hAnsi="楷体" w:eastAsia="楷体"/>
          <w:b/>
          <w:sz w:val="32"/>
          <w:szCs w:val="32"/>
        </w:rPr>
      </w:pPr>
      <w:r>
        <w:rPr>
          <w:rFonts w:hint="eastAsia" w:ascii="楷体" w:hAnsi="楷体" w:eastAsia="楷体"/>
          <w:b/>
          <w:sz w:val="32"/>
          <w:szCs w:val="32"/>
        </w:rPr>
        <w:t>“苏银理财</w:t>
      </w:r>
      <w:r>
        <w:rPr>
          <w:rFonts w:hint="eastAsia" w:ascii="楷体" w:hAnsi="楷体" w:eastAsia="楷体"/>
          <w:b/>
          <w:sz w:val="32"/>
          <w:szCs w:val="32"/>
          <w:lang w:eastAsia="zh-CN"/>
        </w:rPr>
        <w:t>恒源6月定开11期</w:t>
      </w:r>
      <w:r>
        <w:rPr>
          <w:rFonts w:hint="eastAsia" w:ascii="楷体" w:hAnsi="楷体" w:eastAsia="楷体"/>
          <w:b/>
          <w:sz w:val="32"/>
          <w:szCs w:val="32"/>
        </w:rPr>
        <w:t>”理财产品风险揭示书</w:t>
      </w:r>
    </w:p>
    <w:p>
      <w:pPr>
        <w:jc w:val="center"/>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2" w:firstLineChars="200"/>
        <w:outlineLvl w:val="1"/>
        <w:rPr>
          <w:rFonts w:hint="eastAsia" w:ascii="楷体" w:hAnsi="楷体" w:eastAsia="楷体"/>
          <w:b/>
          <w:sz w:val="24"/>
          <w:szCs w:val="24"/>
        </w:rPr>
      </w:pPr>
      <w:r>
        <w:rPr>
          <w:rFonts w:hint="eastAsia" w:ascii="楷体" w:hAnsi="楷体" w:eastAsia="楷体"/>
          <w:b/>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w:t>
      </w:r>
      <w:r>
        <w:rPr>
          <w:rFonts w:hint="eastAsia" w:ascii="楷体" w:hAnsi="楷体" w:eastAsia="楷体"/>
          <w:sz w:val="24"/>
          <w:szCs w:val="24"/>
          <w:highlight w:val="none"/>
        </w:rPr>
        <w:t>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w:t>
      </w:r>
      <w:r>
        <w:rPr>
          <w:rFonts w:hint="eastAsia" w:ascii="楷体" w:hAnsi="楷体" w:eastAsia="楷体"/>
          <w:sz w:val="24"/>
          <w:szCs w:val="24"/>
          <w:highlight w:val="none"/>
          <w:lang w:eastAsia="zh-CN"/>
        </w:rPr>
        <w:t>）</w:t>
      </w:r>
      <w:r>
        <w:rPr>
          <w:rFonts w:hint="eastAsia" w:ascii="楷体" w:hAnsi="楷体" w:eastAsia="楷体"/>
          <w:sz w:val="24"/>
          <w:szCs w:val="24"/>
          <w:highlight w:val="none"/>
        </w:rPr>
        <w:t>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w:t>
      </w:r>
      <w:r>
        <w:rPr>
          <w:rFonts w:hint="eastAsia" w:ascii="楷体" w:hAnsi="楷体" w:eastAsia="楷体"/>
          <w:sz w:val="24"/>
          <w:szCs w:val="24"/>
        </w:rPr>
        <w:t>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rPr>
          <w:rFonts w:hint="eastAsia" w:ascii="楷体" w:hAnsi="楷体" w:eastAsia="楷体"/>
          <w:b/>
          <w:bCs/>
          <w:sz w:val="24"/>
          <w:szCs w:val="24"/>
          <w:u w:val="single"/>
        </w:rPr>
      </w:pPr>
      <w:r>
        <w:rPr>
          <w:rFonts w:hint="eastAsia" w:ascii="楷体" w:hAnsi="楷体" w:eastAsia="楷体"/>
          <w:b/>
          <w:bCs/>
          <w:sz w:val="24"/>
          <w:szCs w:val="24"/>
          <w:u w:val="single"/>
        </w:rPr>
        <w:t>非标准化债权的特殊风险：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融资方还款履约能力可能的变化导致的信用风险。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债务人提前还款或逾期还款的风险。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保证人未履行保证义务的风险等。</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w:t>
      </w:r>
      <w:r>
        <w:rPr>
          <w:rFonts w:hint="eastAsia" w:ascii="楷体" w:hAnsi="楷体" w:eastAsia="楷体"/>
          <w:sz w:val="24"/>
          <w:szCs w:val="24"/>
          <w:lang w:eastAsia="zh-CN"/>
        </w:rPr>
        <w:t>理财产品（代理）销售协议书</w:t>
      </w:r>
      <w:r>
        <w:rPr>
          <w:rFonts w:hint="eastAsia" w:ascii="楷体" w:hAnsi="楷体" w:eastAsia="楷体"/>
          <w:sz w:val="24"/>
          <w:szCs w:val="24"/>
        </w:rPr>
        <w:t>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p>
    <w:p>
      <w:pPr>
        <w:numPr>
          <w:ilvl w:val="0"/>
          <w:numId w:val="0"/>
        </w:numPr>
        <w:tabs>
          <w:tab w:val="left" w:pos="742"/>
        </w:tabs>
        <w:ind w:firstLine="480" w:firstLineChars="200"/>
        <w:rPr>
          <w:rFonts w:ascii="楷体" w:hAnsi="楷体" w:eastAsia="楷体"/>
          <w:b/>
          <w:sz w:val="24"/>
          <w:szCs w:val="24"/>
        </w:rPr>
      </w:pPr>
      <w:r>
        <w:rPr>
          <w:rFonts w:hint="eastAsia" w:ascii="楷体" w:hAnsi="楷体" w:eastAsia="楷体"/>
          <w:b w:val="0"/>
          <w:bCs/>
          <w:sz w:val="24"/>
          <w:szCs w:val="24"/>
        </w:rPr>
        <w:t>示例：如投资者购买本理财产品，本金为1万元，在理财产品资产组合项下资产全部亏损的最不利情况下，理财产品1万元本金将全部损失。</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w:t>
      </w:r>
      <w:r>
        <w:rPr>
          <w:rFonts w:hint="eastAsia" w:ascii="楷体" w:hAnsi="楷体" w:eastAsia="楷体"/>
          <w:sz w:val="24"/>
          <w:szCs w:val="24"/>
          <w:lang w:val="en-US" w:eastAsia="zh-CN"/>
        </w:rPr>
        <w:t>将</w:t>
      </w:r>
      <w:r>
        <w:rPr>
          <w:rFonts w:hint="eastAsia" w:ascii="楷体" w:hAnsi="楷体" w:eastAsia="楷体"/>
          <w:sz w:val="24"/>
          <w:szCs w:val="24"/>
          <w:lang w:eastAsia="zh-CN"/>
        </w:rPr>
        <w:t>根据</w:t>
      </w:r>
      <w:r>
        <w:rPr>
          <w:rFonts w:hint="eastAsia" w:ascii="楷体" w:hAnsi="楷体" w:eastAsia="楷体"/>
          <w:sz w:val="24"/>
          <w:szCs w:val="24"/>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2"/>
        <w:spacing w:before="0" w:beforeAutospacing="0" w:after="0" w:afterAutospacing="0" w:line="360" w:lineRule="auto"/>
        <w:ind w:left="420"/>
        <w:jc w:val="right"/>
        <w:rPr>
          <w:rFonts w:ascii="楷体" w:hAnsi="楷体" w:eastAsia="楷体"/>
          <w:b/>
          <w:color w:val="000000"/>
        </w:rPr>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pPr>
      <w:r>
        <w:rPr>
          <w:rFonts w:hint="eastAsia" w:ascii="楷体" w:hAnsi="楷体" w:eastAsia="楷体"/>
          <w:b/>
          <w:color w:val="000000"/>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w:t>
      </w:r>
      <w:r>
        <w:rPr>
          <w:rFonts w:hint="eastAsia" w:ascii="楷体" w:hAnsi="楷体" w:eastAsia="楷体"/>
          <w:sz w:val="24"/>
          <w:szCs w:val="24"/>
          <w:highlight w:val="none"/>
        </w:rPr>
        <w:t>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lang w:val="en-US" w:eastAsia="zh-CN"/>
        </w:rPr>
      </w:pPr>
      <w:r>
        <w:rPr>
          <w:rFonts w:hint="eastAsia" w:ascii="楷体" w:hAnsi="楷体" w:eastAsia="楷体"/>
          <w:sz w:val="24"/>
          <w:szCs w:val="24"/>
        </w:rPr>
        <w:t>机构投资者（盖章）：</w:t>
      </w:r>
    </w:p>
    <w:p>
      <w:pPr>
        <w:rPr>
          <w:rFonts w:hint="eastAsia" w:ascii="楷体" w:hAnsi="楷体" w:eastAsia="楷体"/>
          <w:sz w:val="24"/>
          <w:szCs w:val="24"/>
          <w:lang w:val="en-US" w:eastAsia="zh-CN"/>
        </w:rPr>
      </w:pPr>
    </w:p>
    <w:p>
      <w:pPr>
        <w:rPr>
          <w:rFonts w:hint="eastAsia" w:ascii="楷体" w:hAnsi="楷体" w:eastAsia="楷体"/>
          <w:sz w:val="24"/>
          <w:szCs w:val="24"/>
          <w:lang w:val="en-US" w:eastAsia="zh-CN"/>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rPr>
          <w:rFonts w:hint="eastAsia"/>
        </w:rPr>
      </w:pPr>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0"/>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7" name="WordPictureWatermark36714475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36714475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643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9"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67144750"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67144749"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5408"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0A72D"/>
    <w:multiLevelType w:val="singleLevel"/>
    <w:tmpl w:val="1AD0A72D"/>
    <w:lvl w:ilvl="0" w:tentative="0">
      <w:start w:val="1"/>
      <w:numFmt w:val="decimal"/>
      <w:suff w:val="space"/>
      <w:lvlText w:val="%1."/>
      <w:lvlJc w:val="left"/>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1941084"/>
    <w:rsid w:val="01AA3388"/>
    <w:rsid w:val="021F0315"/>
    <w:rsid w:val="02437D0C"/>
    <w:rsid w:val="02765F60"/>
    <w:rsid w:val="02A65A04"/>
    <w:rsid w:val="037662C0"/>
    <w:rsid w:val="04DC5621"/>
    <w:rsid w:val="05AA1E2F"/>
    <w:rsid w:val="05C24554"/>
    <w:rsid w:val="061606D5"/>
    <w:rsid w:val="061A2F20"/>
    <w:rsid w:val="06D46993"/>
    <w:rsid w:val="07731EDA"/>
    <w:rsid w:val="083A0B73"/>
    <w:rsid w:val="08CF5889"/>
    <w:rsid w:val="09B853C9"/>
    <w:rsid w:val="0B721E65"/>
    <w:rsid w:val="0B9D714B"/>
    <w:rsid w:val="0BCF2C69"/>
    <w:rsid w:val="0C944AE0"/>
    <w:rsid w:val="0D607017"/>
    <w:rsid w:val="0DAB3C0B"/>
    <w:rsid w:val="0DAF4280"/>
    <w:rsid w:val="0EE14842"/>
    <w:rsid w:val="0F3154A0"/>
    <w:rsid w:val="0F431724"/>
    <w:rsid w:val="0FCD07E3"/>
    <w:rsid w:val="10E55ACF"/>
    <w:rsid w:val="11016862"/>
    <w:rsid w:val="114A0C0C"/>
    <w:rsid w:val="116612F4"/>
    <w:rsid w:val="11BE04F3"/>
    <w:rsid w:val="136369E3"/>
    <w:rsid w:val="15734290"/>
    <w:rsid w:val="158E7E44"/>
    <w:rsid w:val="15B824AE"/>
    <w:rsid w:val="15CF287D"/>
    <w:rsid w:val="16B1769F"/>
    <w:rsid w:val="16C12DFE"/>
    <w:rsid w:val="17DD217F"/>
    <w:rsid w:val="1B1644A1"/>
    <w:rsid w:val="1D066662"/>
    <w:rsid w:val="1DDC7E69"/>
    <w:rsid w:val="1E6F3314"/>
    <w:rsid w:val="1FF07889"/>
    <w:rsid w:val="20715E11"/>
    <w:rsid w:val="208C27F0"/>
    <w:rsid w:val="20B92DC1"/>
    <w:rsid w:val="20D9340A"/>
    <w:rsid w:val="21662DD3"/>
    <w:rsid w:val="21965E5F"/>
    <w:rsid w:val="225459BF"/>
    <w:rsid w:val="23305C26"/>
    <w:rsid w:val="235B6EB4"/>
    <w:rsid w:val="23DE761C"/>
    <w:rsid w:val="2527511E"/>
    <w:rsid w:val="25290E59"/>
    <w:rsid w:val="25FB49C4"/>
    <w:rsid w:val="271D37C5"/>
    <w:rsid w:val="27C17BB1"/>
    <w:rsid w:val="28A904E4"/>
    <w:rsid w:val="294D3CE5"/>
    <w:rsid w:val="2A6956F3"/>
    <w:rsid w:val="2C282037"/>
    <w:rsid w:val="2C5E17FF"/>
    <w:rsid w:val="2D2C1113"/>
    <w:rsid w:val="2F2F0392"/>
    <w:rsid w:val="320C6DBE"/>
    <w:rsid w:val="32106897"/>
    <w:rsid w:val="3302137C"/>
    <w:rsid w:val="336B039B"/>
    <w:rsid w:val="33CA2E88"/>
    <w:rsid w:val="340D75AE"/>
    <w:rsid w:val="347E5E21"/>
    <w:rsid w:val="34CE03A5"/>
    <w:rsid w:val="34EE59FB"/>
    <w:rsid w:val="353B7940"/>
    <w:rsid w:val="370E636B"/>
    <w:rsid w:val="38563E9E"/>
    <w:rsid w:val="39236D04"/>
    <w:rsid w:val="3A25564A"/>
    <w:rsid w:val="3A9116C3"/>
    <w:rsid w:val="3AD90077"/>
    <w:rsid w:val="3BE57419"/>
    <w:rsid w:val="3C00358A"/>
    <w:rsid w:val="3D3654E2"/>
    <w:rsid w:val="3DDD5D91"/>
    <w:rsid w:val="3F8D7CAC"/>
    <w:rsid w:val="3FDB054C"/>
    <w:rsid w:val="40CE75B7"/>
    <w:rsid w:val="41401B50"/>
    <w:rsid w:val="42AF1545"/>
    <w:rsid w:val="4389418F"/>
    <w:rsid w:val="44383A9C"/>
    <w:rsid w:val="44576E56"/>
    <w:rsid w:val="475B335F"/>
    <w:rsid w:val="47DF749A"/>
    <w:rsid w:val="48DA7951"/>
    <w:rsid w:val="492C007A"/>
    <w:rsid w:val="49637829"/>
    <w:rsid w:val="4B281141"/>
    <w:rsid w:val="4C0E5BAD"/>
    <w:rsid w:val="4C6843B9"/>
    <w:rsid w:val="4CAC15F2"/>
    <w:rsid w:val="4D956F2D"/>
    <w:rsid w:val="4DB908E0"/>
    <w:rsid w:val="4E245191"/>
    <w:rsid w:val="4E914F36"/>
    <w:rsid w:val="4F1E101B"/>
    <w:rsid w:val="502E27B1"/>
    <w:rsid w:val="518566CD"/>
    <w:rsid w:val="52042A30"/>
    <w:rsid w:val="541933E7"/>
    <w:rsid w:val="54235856"/>
    <w:rsid w:val="54A86EFB"/>
    <w:rsid w:val="54F061B5"/>
    <w:rsid w:val="54FA4583"/>
    <w:rsid w:val="55D6017A"/>
    <w:rsid w:val="56273479"/>
    <w:rsid w:val="567468CD"/>
    <w:rsid w:val="56D420FA"/>
    <w:rsid w:val="57F24C5E"/>
    <w:rsid w:val="594451AA"/>
    <w:rsid w:val="5991093B"/>
    <w:rsid w:val="5AB62645"/>
    <w:rsid w:val="5C8A27C0"/>
    <w:rsid w:val="5E62490A"/>
    <w:rsid w:val="5F753293"/>
    <w:rsid w:val="5F813FB4"/>
    <w:rsid w:val="5FA74CDE"/>
    <w:rsid w:val="604E3B3C"/>
    <w:rsid w:val="608A7AD1"/>
    <w:rsid w:val="60C522F4"/>
    <w:rsid w:val="628778FD"/>
    <w:rsid w:val="6298317C"/>
    <w:rsid w:val="62F21D87"/>
    <w:rsid w:val="63FB4DA5"/>
    <w:rsid w:val="642F297C"/>
    <w:rsid w:val="65BA7764"/>
    <w:rsid w:val="66E6079A"/>
    <w:rsid w:val="670B2782"/>
    <w:rsid w:val="672D5701"/>
    <w:rsid w:val="67D8115D"/>
    <w:rsid w:val="683E50DD"/>
    <w:rsid w:val="69203ACC"/>
    <w:rsid w:val="69775866"/>
    <w:rsid w:val="69C04ABB"/>
    <w:rsid w:val="6A2F5934"/>
    <w:rsid w:val="6ACE4D37"/>
    <w:rsid w:val="6C534188"/>
    <w:rsid w:val="6EC82FBB"/>
    <w:rsid w:val="70F2045B"/>
    <w:rsid w:val="71093547"/>
    <w:rsid w:val="716E0274"/>
    <w:rsid w:val="7396760B"/>
    <w:rsid w:val="73E05013"/>
    <w:rsid w:val="73EF024F"/>
    <w:rsid w:val="74966354"/>
    <w:rsid w:val="752F30C8"/>
    <w:rsid w:val="75635C3C"/>
    <w:rsid w:val="761339E3"/>
    <w:rsid w:val="76D16F69"/>
    <w:rsid w:val="77667C2A"/>
    <w:rsid w:val="79647B21"/>
    <w:rsid w:val="7A7D638E"/>
    <w:rsid w:val="7B54390E"/>
    <w:rsid w:val="7D420B4A"/>
    <w:rsid w:val="7E445010"/>
    <w:rsid w:val="7E5E3BE4"/>
    <w:rsid w:val="7EA514C9"/>
    <w:rsid w:val="7F9C2B85"/>
    <w:rsid w:val="7FEB5AE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tblPr>
      <w:tblStyle w:val="14"/>
      <w:tblCellMar>
        <w:top w:w="0" w:type="dxa"/>
        <w:left w:w="108" w:type="dxa"/>
        <w:bottom w:w="0" w:type="dxa"/>
        <w:right w:w="108" w:type="dxa"/>
      </w:tblCellMar>
    </w:tblPr>
  </w:style>
  <w:style w:type="paragraph" w:styleId="5">
    <w:name w:val="annotation text"/>
    <w:basedOn w:val="1"/>
    <w:link w:val="24"/>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uiPriority w:val="99"/>
    <w:pPr>
      <w:ind w:left="100" w:leftChars="2500"/>
    </w:pPr>
  </w:style>
  <w:style w:type="paragraph" w:styleId="8">
    <w:name w:val="Balloon Text"/>
    <w:basedOn w:val="1"/>
    <w:link w:val="27"/>
    <w:unhideWhenUsed/>
    <w:uiPriority w:val="99"/>
    <w:rPr>
      <w:kern w:val="0"/>
      <w:sz w:val="18"/>
      <w:szCs w:val="18"/>
    </w:rPr>
  </w:style>
  <w:style w:type="paragraph" w:styleId="9">
    <w:name w:val="footer"/>
    <w:basedOn w:val="1"/>
    <w:link w:val="28"/>
    <w:unhideWhenUsed/>
    <w:uiPriority w:val="99"/>
    <w:pPr>
      <w:tabs>
        <w:tab w:val="center" w:pos="4153"/>
        <w:tab w:val="right" w:pos="8306"/>
      </w:tabs>
      <w:snapToGrid w:val="0"/>
      <w:jc w:val="left"/>
    </w:pPr>
    <w:rPr>
      <w:kern w:val="0"/>
      <w:sz w:val="18"/>
      <w:szCs w:val="18"/>
    </w:rPr>
  </w:style>
  <w:style w:type="paragraph" w:styleId="10">
    <w:name w:val="header"/>
    <w:basedOn w:val="1"/>
    <w:link w:val="29"/>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uiPriority w:val="99"/>
    <w:rPr>
      <w:b/>
      <w:bCs/>
    </w:rPr>
  </w:style>
  <w:style w:type="table" w:styleId="15">
    <w:name w:val="Table Grid"/>
    <w:basedOn w:val="14"/>
    <w:uiPriority w:val="59"/>
    <w:tblPr>
      <w:tblStyle w:val="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标题 1 字符"/>
    <w:link w:val="2"/>
    <w:uiPriority w:val="1"/>
    <w:rPr>
      <w:rFonts w:ascii="黑体" w:hAnsi="Times New Roman" w:eastAsia="黑体" w:cs="黑体"/>
      <w:b/>
      <w:bCs/>
      <w:kern w:val="0"/>
      <w:sz w:val="36"/>
      <w:szCs w:val="36"/>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标题 3 字符"/>
    <w:link w:val="4"/>
    <w:uiPriority w:val="1"/>
    <w:rPr>
      <w:rFonts w:ascii="宋体" w:hAnsi="Times New Roman" w:eastAsia="宋体" w:cs="宋体"/>
      <w:b/>
      <w:bCs/>
      <w:kern w:val="0"/>
      <w:szCs w:val="21"/>
    </w:rPr>
  </w:style>
  <w:style w:type="character" w:customStyle="1" w:styleId="24">
    <w:name w:val="批注文字 字符"/>
    <w:link w:val="5"/>
    <w:uiPriority w:val="99"/>
    <w:rPr>
      <w:kern w:val="2"/>
      <w:sz w:val="21"/>
      <w:szCs w:val="22"/>
    </w:rPr>
  </w:style>
  <w:style w:type="character" w:customStyle="1" w:styleId="25">
    <w:name w:val="正文文本 字符"/>
    <w:link w:val="6"/>
    <w:uiPriority w:val="1"/>
    <w:rPr>
      <w:rFonts w:ascii="宋体" w:hAnsi="Times New Roman" w:eastAsia="宋体" w:cs="宋体"/>
      <w:kern w:val="0"/>
      <w:szCs w:val="21"/>
    </w:rPr>
  </w:style>
  <w:style w:type="character" w:customStyle="1" w:styleId="26">
    <w:name w:val="日期 字符"/>
    <w:basedOn w:val="16"/>
    <w:link w:val="7"/>
    <w:semiHidden/>
    <w:uiPriority w:val="99"/>
  </w:style>
  <w:style w:type="character" w:customStyle="1" w:styleId="27">
    <w:name w:val="批注框文本 字符"/>
    <w:link w:val="8"/>
    <w:semiHidden/>
    <w:uiPriority w:val="99"/>
    <w:rPr>
      <w:sz w:val="18"/>
      <w:szCs w:val="18"/>
    </w:rPr>
  </w:style>
  <w:style w:type="character" w:customStyle="1" w:styleId="28">
    <w:name w:val="页脚 字符"/>
    <w:link w:val="9"/>
    <w:uiPriority w:val="99"/>
    <w:rPr>
      <w:sz w:val="18"/>
      <w:szCs w:val="18"/>
    </w:rPr>
  </w:style>
  <w:style w:type="character" w:customStyle="1" w:styleId="29">
    <w:name w:val="页眉 字符"/>
    <w:link w:val="10"/>
    <w:uiPriority w:val="99"/>
    <w:rPr>
      <w:sz w:val="18"/>
      <w:szCs w:val="18"/>
    </w:rPr>
  </w:style>
  <w:style w:type="character" w:customStyle="1" w:styleId="30">
    <w:name w:val="脚注文本 字符1"/>
    <w:link w:val="11"/>
    <w:uiPriority w:val="99"/>
    <w:rPr>
      <w:kern w:val="2"/>
      <w:sz w:val="18"/>
      <w:szCs w:val="18"/>
    </w:rPr>
  </w:style>
  <w:style w:type="character" w:customStyle="1" w:styleId="31">
    <w:name w:val="批注主题 字符"/>
    <w:link w:val="13"/>
    <w:semiHidden/>
    <w:uiPriority w:val="99"/>
    <w:rPr>
      <w:b/>
      <w:bCs/>
      <w:kern w:val="2"/>
      <w:sz w:val="21"/>
      <w:szCs w:val="22"/>
    </w:rPr>
  </w:style>
  <w:style w:type="character" w:customStyle="1" w:styleId="32">
    <w:name w:val="脚注文本 字符"/>
    <w:semiHidden/>
    <w:uiPriority w:val="99"/>
    <w:rPr>
      <w:kern w:val="2"/>
      <w:sz w:val="18"/>
      <w:szCs w:val="18"/>
    </w:rPr>
  </w:style>
  <w:style w:type="paragraph" w:customStyle="1" w:styleId="33">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styleId="36">
    <w:name w:val=""/>
    <w:semiHidden/>
    <w:uiPriority w:val="99"/>
    <w:rPr>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6067</Words>
  <Characters>6073</Characters>
  <Lines>41</Lines>
  <Paragraphs>11</Paragraphs>
  <TotalTime>0</TotalTime>
  <ScaleCrop>false</ScaleCrop>
  <LinksUpToDate>false</LinksUpToDate>
  <CharactersWithSpaces>6198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adm</cp:lastModifiedBy>
  <cp:lastPrinted>2021-03-22T08:30:00Z</cp:lastPrinted>
  <dcterms:modified xsi:type="dcterms:W3CDTF">2025-07-17T11:23:37Z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6599D8E9B42245899574C8A61ABB5BB4</vt:lpwstr>
  </property>
</Properties>
</file>