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before="156" w:beforeLines="50" w:beforeAutospacing="0" w:after="0" w:afterAutospacing="0"/>
        <w:jc w:val="center"/>
        <w:rPr>
          <w:rFonts w:hint="eastAsia" w:ascii="楷体" w:hAnsi="楷体" w:eastAsia="楷体"/>
          <w:b/>
          <w:sz w:val="36"/>
          <w:szCs w:val="36"/>
        </w:rPr>
      </w:pPr>
      <w:r>
        <w:rPr>
          <w:rFonts w:ascii="楷体" w:hAnsi="楷体" w:eastAsia="楷体"/>
        </w:rPr>
        <mc:AlternateContent>
          <mc:Choice Requires="wps">
            <w:drawing>
              <wp:anchor distT="45720" distB="45720" distL="114300" distR="114300" simplePos="0" relativeHeight="251659264" behindDoc="0" locked="0" layoutInCell="1" allowOverlap="1">
                <wp:simplePos x="0" y="0"/>
                <wp:positionH relativeFrom="margin">
                  <wp:posOffset>-334645</wp:posOffset>
                </wp:positionH>
                <wp:positionV relativeFrom="paragraph">
                  <wp:posOffset>61595</wp:posOffset>
                </wp:positionV>
                <wp:extent cx="5931535" cy="2536190"/>
                <wp:effectExtent l="4445" t="5080" r="7620" b="11430"/>
                <wp:wrapSquare wrapText="bothSides"/>
                <wp:docPr id="1" name="文本框 3"/>
                <wp:cNvGraphicFramePr/>
                <a:graphic xmlns:a="http://schemas.openxmlformats.org/drawingml/2006/main">
                  <a:graphicData uri="http://schemas.microsoft.com/office/word/2010/wordprocessingShape">
                    <wps:wsp>
                      <wps:cNvSpPr txBox="1"/>
                      <wps:spPr>
                        <a:xfrm>
                          <a:off x="0" y="0"/>
                          <a:ext cx="5931535" cy="2536190"/>
                        </a:xfrm>
                        <a:prstGeom prst="rect">
                          <a:avLst/>
                        </a:prstGeom>
                        <a:noFill/>
                        <a:ln w="9525" cap="flat" cmpd="sng">
                          <a:solidFill>
                            <a:srgbClr val="000000"/>
                          </a:solidFill>
                          <a:prstDash val="solid"/>
                          <a:miter/>
                          <a:headEnd type="none" w="med" len="med"/>
                          <a:tailEnd type="none" w="med" len="med"/>
                        </a:ln>
                      </wps:spPr>
                      <wps:txbx>
                        <w:txbxContent>
                          <w:p>
                            <w:pPr>
                              <w:jc w:val="center"/>
                              <w:rPr>
                                <w:rFonts w:ascii="楷体" w:hAnsi="楷体" w:eastAsia="楷体"/>
                                <w:b/>
                                <w:bCs/>
                                <w:sz w:val="28"/>
                                <w:szCs w:val="32"/>
                              </w:rPr>
                            </w:pPr>
                            <w:r>
                              <w:rPr>
                                <w:rFonts w:ascii="楷体" w:hAnsi="楷体" w:eastAsia="楷体"/>
                                <w:b/>
                                <w:bCs/>
                                <w:sz w:val="28"/>
                                <w:szCs w:val="32"/>
                              </w:rPr>
                              <w:t>特别</w:t>
                            </w:r>
                            <w:r>
                              <w:rPr>
                                <w:rFonts w:hint="eastAsia" w:ascii="楷体" w:hAnsi="楷体" w:eastAsia="楷体"/>
                                <w:b/>
                                <w:bCs/>
                                <w:sz w:val="28"/>
                                <w:szCs w:val="32"/>
                              </w:rPr>
                              <w:t>提示</w:t>
                            </w:r>
                          </w:p>
                          <w:p>
                            <w:pPr>
                              <w:numPr>
                                <w:ilvl w:val="0"/>
                                <w:numId w:val="1"/>
                              </w:numPr>
                              <w:ind w:right="115" w:rightChars="55"/>
                              <w:rPr>
                                <w:rFonts w:hint="eastAsia" w:ascii="楷体" w:hAnsi="楷体" w:eastAsia="楷体" w:cs="宋体"/>
                                <w:b/>
                                <w:spacing w:val="-2"/>
                                <w:szCs w:val="21"/>
                                <w:u w:val="single"/>
                              </w:rPr>
                            </w:pPr>
                            <w:r>
                              <w:rPr>
                                <w:rFonts w:hint="eastAsia" w:ascii="楷体" w:hAnsi="楷体" w:eastAsia="楷体" w:cs="宋体"/>
                                <w:b/>
                                <w:spacing w:val="-2"/>
                                <w:szCs w:val="21"/>
                                <w:u w:val="single"/>
                              </w:rPr>
                              <w:t>本产品为</w:t>
                            </w:r>
                            <w:r>
                              <w:rPr>
                                <w:rFonts w:hint="eastAsia" w:ascii="楷体" w:hAnsi="楷体" w:eastAsia="楷体" w:cs="宋体"/>
                                <w:b/>
                                <w:spacing w:val="-2"/>
                                <w:szCs w:val="21"/>
                                <w:u w:val="single"/>
                                <w:lang w:val="en-US" w:eastAsia="zh-CN"/>
                              </w:rPr>
                              <w:t>按季</w:t>
                            </w:r>
                            <w:r>
                              <w:rPr>
                                <w:rFonts w:hint="eastAsia" w:ascii="楷体" w:hAnsi="楷体" w:eastAsia="楷体" w:cs="宋体"/>
                                <w:b/>
                                <w:spacing w:val="-2"/>
                                <w:szCs w:val="21"/>
                                <w:u w:val="single"/>
                              </w:rPr>
                              <w:t>定开理财产品，未到开放时间客户无法赎回，请客户根据自身资金使用需要在开放时间内发起赎回申请。</w:t>
                            </w:r>
                          </w:p>
                          <w:p>
                            <w:pPr>
                              <w:numPr>
                                <w:ilvl w:val="0"/>
                                <w:numId w:val="1"/>
                              </w:numPr>
                              <w:ind w:right="115" w:rightChars="55"/>
                              <w:rPr>
                                <w:rFonts w:hint="eastAsia" w:ascii="楷体" w:hAnsi="楷体" w:eastAsia="楷体" w:cs="宋体"/>
                                <w:b/>
                                <w:spacing w:val="-2"/>
                                <w:szCs w:val="21"/>
                                <w:u w:val="single"/>
                              </w:rPr>
                            </w:pPr>
                            <w:r>
                              <w:rPr>
                                <w:rFonts w:hint="eastAsia" w:ascii="楷体" w:hAnsi="楷体" w:eastAsia="楷体"/>
                                <w:b/>
                                <w:u w:val="single"/>
                              </w:rPr>
                              <w:t>本产品赎回申请受制于产品巨额赎回条款的限制，这可能影响您的资金使用安排。</w:t>
                            </w:r>
                          </w:p>
                          <w:p>
                            <w:pPr>
                              <w:numPr>
                                <w:ilvl w:val="0"/>
                                <w:numId w:val="1"/>
                              </w:numPr>
                              <w:ind w:right="115" w:rightChars="55"/>
                              <w:rPr>
                                <w:rFonts w:ascii="楷体" w:hAnsi="楷体" w:eastAsia="楷体" w:cs="宋体"/>
                                <w:b/>
                                <w:spacing w:val="-2"/>
                                <w:szCs w:val="21"/>
                                <w:u w:val="single"/>
                              </w:rPr>
                            </w:pPr>
                            <w:r>
                              <w:rPr>
                                <w:rFonts w:hint="eastAsia" w:ascii="楷体" w:hAnsi="楷体" w:eastAsia="楷体" w:cs="宋体"/>
                                <w:b/>
                                <w:spacing w:val="-2"/>
                                <w:szCs w:val="21"/>
                                <w:u w:val="single"/>
                              </w:rPr>
                              <w:t>本产品设置有多个份额，</w:t>
                            </w:r>
                            <w:r>
                              <w:rPr>
                                <w:rFonts w:hint="eastAsia" w:ascii="楷体" w:hAnsi="楷体" w:eastAsia="楷体" w:cs="宋体"/>
                                <w:b/>
                                <w:spacing w:val="-2"/>
                                <w:szCs w:val="21"/>
                                <w:u w:val="single"/>
                                <w:lang w:eastAsia="zh-CN"/>
                              </w:rPr>
                              <w:t>各份额</w:t>
                            </w:r>
                            <w:r>
                              <w:rPr>
                                <w:rFonts w:hint="eastAsia" w:ascii="楷体" w:hAnsi="楷体" w:eastAsia="楷体" w:cs="宋体"/>
                                <w:b/>
                                <w:spacing w:val="-2"/>
                                <w:szCs w:val="21"/>
                                <w:u w:val="single"/>
                              </w:rPr>
                              <w:t>按照设置的销售对象和销售起点进行销售，</w:t>
                            </w:r>
                            <w:r>
                              <w:rPr>
                                <w:rFonts w:hint="eastAsia" w:ascii="楷体" w:hAnsi="楷体" w:eastAsia="楷体" w:cs="宋体"/>
                                <w:b/>
                                <w:spacing w:val="-2"/>
                                <w:szCs w:val="21"/>
                                <w:u w:val="single"/>
                                <w:lang w:eastAsia="zh-CN"/>
                              </w:rPr>
                              <w:t>各份额</w:t>
                            </w:r>
                            <w:r>
                              <w:rPr>
                                <w:rFonts w:hint="eastAsia" w:ascii="楷体" w:hAnsi="楷体" w:eastAsia="楷体" w:cs="宋体"/>
                                <w:b/>
                                <w:spacing w:val="-2"/>
                                <w:szCs w:val="21"/>
                                <w:u w:val="single"/>
                              </w:rPr>
                              <w:t>实际收取的销售服务费率、投资管理费率以及业绩比较基准存在差异，客户根据产品销售时设置的条件自主选择购买。</w:t>
                            </w:r>
                          </w:p>
                          <w:p>
                            <w:pPr>
                              <w:numPr>
                                <w:ilvl w:val="0"/>
                                <w:numId w:val="1"/>
                              </w:numPr>
                              <w:ind w:right="115" w:rightChars="55"/>
                              <w:rPr>
                                <w:rFonts w:ascii="楷体" w:hAnsi="楷体" w:eastAsia="楷体" w:cs="宋体"/>
                                <w:b/>
                                <w:spacing w:val="-2"/>
                                <w:szCs w:val="21"/>
                                <w:u w:val="single"/>
                              </w:rPr>
                            </w:pPr>
                            <w:r>
                              <w:rPr>
                                <w:rFonts w:hint="eastAsia" w:ascii="楷体" w:hAnsi="楷体" w:eastAsia="楷体" w:cs="宋体"/>
                                <w:b/>
                                <w:spacing w:val="-2"/>
                                <w:szCs w:val="21"/>
                                <w:u w:val="single"/>
                              </w:rPr>
                              <w:t>业绩比较基准为管理人对本产品所设定的投资目标，不代表理财产品未来表现，不等于理财产品实际收益，不作为产品收益的业绩保证，投资者的实际收益由产品净值表现决定。</w:t>
                            </w:r>
                          </w:p>
                          <w:p>
                            <w:pPr>
                              <w:numPr>
                                <w:ilvl w:val="0"/>
                                <w:numId w:val="1"/>
                              </w:numPr>
                              <w:rPr>
                                <w:rFonts w:hint="eastAsia" w:ascii="楷体" w:hAnsi="楷体" w:eastAsia="楷体" w:cs="宋体"/>
                                <w:b/>
                                <w:spacing w:val="-2"/>
                                <w:szCs w:val="21"/>
                                <w:highlight w:val="none"/>
                                <w:u w:val="single"/>
                              </w:rPr>
                            </w:pPr>
                            <w:r>
                              <w:rPr>
                                <w:rFonts w:hint="eastAsia" w:ascii="楷体" w:hAnsi="楷体" w:eastAsia="楷体" w:cs="宋体"/>
                                <w:b/>
                                <w:spacing w:val="-2"/>
                                <w:szCs w:val="21"/>
                                <w:highlight w:val="none"/>
                                <w:u w:val="single"/>
                              </w:rPr>
                              <w:t>客户服务热线：95319-</w:t>
                            </w:r>
                            <w:r>
                              <w:rPr>
                                <w:rFonts w:hint="eastAsia" w:ascii="楷体" w:hAnsi="楷体" w:eastAsia="楷体" w:cs="宋体"/>
                                <w:b/>
                                <w:spacing w:val="-2"/>
                                <w:szCs w:val="21"/>
                                <w:highlight w:val="none"/>
                                <w:u w:val="single"/>
                                <w:lang w:val="en-US" w:eastAsia="zh-CN"/>
                              </w:rPr>
                              <w:t>8-2</w:t>
                            </w:r>
                            <w:r>
                              <w:rPr>
                                <w:rFonts w:hint="eastAsia" w:ascii="楷体" w:hAnsi="楷体" w:eastAsia="楷体" w:cs="宋体"/>
                                <w:b/>
                                <w:spacing w:val="-2"/>
                                <w:szCs w:val="21"/>
                                <w:highlight w:val="none"/>
                                <w:u w:val="single"/>
                              </w:rPr>
                              <w:t>。</w:t>
                            </w:r>
                          </w:p>
                          <w:p>
                            <w:pPr>
                              <w:numPr>
                                <w:ilvl w:val="0"/>
                                <w:numId w:val="0"/>
                              </w:numPr>
                              <w:ind w:leftChars="0"/>
                              <w:rPr>
                                <w:rFonts w:hint="eastAsia" w:ascii="楷体" w:hAnsi="楷体" w:eastAsia="楷体" w:cs="宋体"/>
                                <w:b w:val="0"/>
                                <w:bCs/>
                                <w:spacing w:val="-2"/>
                                <w:szCs w:val="21"/>
                                <w:highlight w:val="none"/>
                                <w:u w:val="none"/>
                              </w:rPr>
                            </w:pPr>
                            <w:r>
                              <w:rPr>
                                <w:rFonts w:hint="eastAsia" w:ascii="楷体" w:hAnsi="楷体" w:eastAsia="楷体" w:cs="宋体"/>
                                <w:b w:val="0"/>
                                <w:bCs/>
                                <w:spacing w:val="-2"/>
                                <w:szCs w:val="21"/>
                                <w:highlight w:val="none"/>
                                <w:u w:val="none"/>
                              </w:rPr>
                              <w:t>以上为本产品的特别提示，详细内容请仔细阅读理财产品合同。</w:t>
                            </w:r>
                          </w:p>
                          <w:p>
                            <w:pPr>
                              <w:jc w:val="left"/>
                              <w:rPr>
                                <w:rFonts w:hint="eastAsia" w:ascii="楷体" w:hAnsi="楷体" w:eastAsia="楷体"/>
                              </w:rPr>
                            </w:pPr>
                          </w:p>
                        </w:txbxContent>
                      </wps:txbx>
                      <wps:bodyPr wrap="square" upright="1"/>
                    </wps:wsp>
                  </a:graphicData>
                </a:graphic>
              </wp:anchor>
            </w:drawing>
          </mc:Choice>
          <mc:Fallback>
            <w:pict>
              <v:shape id="文本框 3" o:spid="_x0000_s1026" o:spt="202" type="#_x0000_t202" style="position:absolute;left:0pt;margin-left:-26.35pt;margin-top:4.85pt;height:199.7pt;width:467.05pt;mso-position-horizontal-relative:margin;mso-wrap-distance-bottom:3.6pt;mso-wrap-distance-left:9pt;mso-wrap-distance-right:9pt;mso-wrap-distance-top:3.6pt;z-index:251659264;mso-width-relative:page;mso-height-relative:page;" filled="f" stroked="t" coordsize="21600,21600" o:gfxdata="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jyCrXAAAACQEAAA8AAAAAAAAAAQAg&#10;AAAAIgAAAGRycy9kb3ducmV2LnhtbFBLAQIUABQAAAAIAIdO4kAijrCKDwIAABwEAAAOAAAAAAAA&#10;AAEAIAAAACYBAABkcnMvZTJvRG9jLnhtbFBLBQYAAAAABgAGAFkBAACnBQAAAAA=&#10;">
                <v:fill on="f" focussize="0,0"/>
                <v:stroke color="#000000" joinstyle="miter"/>
                <v:imagedata o:title=""/>
                <o:lock v:ext="edit" aspectratio="f"/>
                <v:textbox>
                  <w:txbxContent>
                    <w:p>
                      <w:pPr>
                        <w:jc w:val="center"/>
                        <w:rPr>
                          <w:rFonts w:ascii="楷体" w:hAnsi="楷体" w:eastAsia="楷体"/>
                          <w:b/>
                          <w:bCs/>
                          <w:sz w:val="28"/>
                          <w:szCs w:val="32"/>
                        </w:rPr>
                      </w:pPr>
                      <w:r>
                        <w:rPr>
                          <w:rFonts w:ascii="楷体" w:hAnsi="楷体" w:eastAsia="楷体"/>
                          <w:b/>
                          <w:bCs/>
                          <w:sz w:val="28"/>
                          <w:szCs w:val="32"/>
                        </w:rPr>
                        <w:t>特别</w:t>
                      </w:r>
                      <w:r>
                        <w:rPr>
                          <w:rFonts w:hint="eastAsia" w:ascii="楷体" w:hAnsi="楷体" w:eastAsia="楷体"/>
                          <w:b/>
                          <w:bCs/>
                          <w:sz w:val="28"/>
                          <w:szCs w:val="32"/>
                        </w:rPr>
                        <w:t>提示</w:t>
                      </w:r>
                    </w:p>
                    <w:p>
                      <w:pPr>
                        <w:numPr>
                          <w:ilvl w:val="0"/>
                          <w:numId w:val="1"/>
                        </w:numPr>
                        <w:ind w:right="115" w:rightChars="55"/>
                        <w:rPr>
                          <w:rFonts w:hint="eastAsia" w:ascii="楷体" w:hAnsi="楷体" w:eastAsia="楷体" w:cs="宋体"/>
                          <w:b/>
                          <w:spacing w:val="-2"/>
                          <w:szCs w:val="21"/>
                          <w:u w:val="single"/>
                        </w:rPr>
                      </w:pPr>
                      <w:r>
                        <w:rPr>
                          <w:rFonts w:hint="eastAsia" w:ascii="楷体" w:hAnsi="楷体" w:eastAsia="楷体" w:cs="宋体"/>
                          <w:b/>
                          <w:spacing w:val="-2"/>
                          <w:szCs w:val="21"/>
                          <w:u w:val="single"/>
                        </w:rPr>
                        <w:t>本产品为</w:t>
                      </w:r>
                      <w:r>
                        <w:rPr>
                          <w:rFonts w:hint="eastAsia" w:ascii="楷体" w:hAnsi="楷体" w:eastAsia="楷体" w:cs="宋体"/>
                          <w:b/>
                          <w:spacing w:val="-2"/>
                          <w:szCs w:val="21"/>
                          <w:u w:val="single"/>
                          <w:lang w:val="en-US" w:eastAsia="zh-CN"/>
                        </w:rPr>
                        <w:t>按季</w:t>
                      </w:r>
                      <w:r>
                        <w:rPr>
                          <w:rFonts w:hint="eastAsia" w:ascii="楷体" w:hAnsi="楷体" w:eastAsia="楷体" w:cs="宋体"/>
                          <w:b/>
                          <w:spacing w:val="-2"/>
                          <w:szCs w:val="21"/>
                          <w:u w:val="single"/>
                        </w:rPr>
                        <w:t>定开理财产品，未到开放时间客户无法赎回，请客户根据自身资金使用需要在开放时间内发起赎回申请。</w:t>
                      </w:r>
                    </w:p>
                    <w:p>
                      <w:pPr>
                        <w:numPr>
                          <w:ilvl w:val="0"/>
                          <w:numId w:val="1"/>
                        </w:numPr>
                        <w:ind w:right="115" w:rightChars="55"/>
                        <w:rPr>
                          <w:rFonts w:hint="eastAsia" w:ascii="楷体" w:hAnsi="楷体" w:eastAsia="楷体" w:cs="宋体"/>
                          <w:b/>
                          <w:spacing w:val="-2"/>
                          <w:szCs w:val="21"/>
                          <w:u w:val="single"/>
                        </w:rPr>
                      </w:pPr>
                      <w:r>
                        <w:rPr>
                          <w:rFonts w:hint="eastAsia" w:ascii="楷体" w:hAnsi="楷体" w:eastAsia="楷体"/>
                          <w:b/>
                          <w:u w:val="single"/>
                        </w:rPr>
                        <w:t>本产品赎回申请受制于产品巨额赎回条款的限制，这可能影响您的资金使用安排。</w:t>
                      </w:r>
                    </w:p>
                    <w:p>
                      <w:pPr>
                        <w:numPr>
                          <w:ilvl w:val="0"/>
                          <w:numId w:val="1"/>
                        </w:numPr>
                        <w:ind w:right="115" w:rightChars="55"/>
                        <w:rPr>
                          <w:rFonts w:ascii="楷体" w:hAnsi="楷体" w:eastAsia="楷体" w:cs="宋体"/>
                          <w:b/>
                          <w:spacing w:val="-2"/>
                          <w:szCs w:val="21"/>
                          <w:u w:val="single"/>
                        </w:rPr>
                      </w:pPr>
                      <w:r>
                        <w:rPr>
                          <w:rFonts w:hint="eastAsia" w:ascii="楷体" w:hAnsi="楷体" w:eastAsia="楷体" w:cs="宋体"/>
                          <w:b/>
                          <w:spacing w:val="-2"/>
                          <w:szCs w:val="21"/>
                          <w:u w:val="single"/>
                        </w:rPr>
                        <w:t>本产品设置有多个份额，</w:t>
                      </w:r>
                      <w:r>
                        <w:rPr>
                          <w:rFonts w:hint="eastAsia" w:ascii="楷体" w:hAnsi="楷体" w:eastAsia="楷体" w:cs="宋体"/>
                          <w:b/>
                          <w:spacing w:val="-2"/>
                          <w:szCs w:val="21"/>
                          <w:u w:val="single"/>
                          <w:lang w:eastAsia="zh-CN"/>
                        </w:rPr>
                        <w:t>各份额</w:t>
                      </w:r>
                      <w:r>
                        <w:rPr>
                          <w:rFonts w:hint="eastAsia" w:ascii="楷体" w:hAnsi="楷体" w:eastAsia="楷体" w:cs="宋体"/>
                          <w:b/>
                          <w:spacing w:val="-2"/>
                          <w:szCs w:val="21"/>
                          <w:u w:val="single"/>
                        </w:rPr>
                        <w:t>按照设置的销售对象和销售起点进行销售，</w:t>
                      </w:r>
                      <w:r>
                        <w:rPr>
                          <w:rFonts w:hint="eastAsia" w:ascii="楷体" w:hAnsi="楷体" w:eastAsia="楷体" w:cs="宋体"/>
                          <w:b/>
                          <w:spacing w:val="-2"/>
                          <w:szCs w:val="21"/>
                          <w:u w:val="single"/>
                          <w:lang w:eastAsia="zh-CN"/>
                        </w:rPr>
                        <w:t>各份额</w:t>
                      </w:r>
                      <w:r>
                        <w:rPr>
                          <w:rFonts w:hint="eastAsia" w:ascii="楷体" w:hAnsi="楷体" w:eastAsia="楷体" w:cs="宋体"/>
                          <w:b/>
                          <w:spacing w:val="-2"/>
                          <w:szCs w:val="21"/>
                          <w:u w:val="single"/>
                        </w:rPr>
                        <w:t>实际收取的销售服务费率、投资管理费率以及业绩比较基准存在差异，客户根据产品销售时设置的条件自主选择购买。</w:t>
                      </w:r>
                    </w:p>
                    <w:p>
                      <w:pPr>
                        <w:numPr>
                          <w:ilvl w:val="0"/>
                          <w:numId w:val="1"/>
                        </w:numPr>
                        <w:ind w:right="115" w:rightChars="55"/>
                        <w:rPr>
                          <w:rFonts w:ascii="楷体" w:hAnsi="楷体" w:eastAsia="楷体" w:cs="宋体"/>
                          <w:b/>
                          <w:spacing w:val="-2"/>
                          <w:szCs w:val="21"/>
                          <w:u w:val="single"/>
                        </w:rPr>
                      </w:pPr>
                      <w:r>
                        <w:rPr>
                          <w:rFonts w:hint="eastAsia" w:ascii="楷体" w:hAnsi="楷体" w:eastAsia="楷体" w:cs="宋体"/>
                          <w:b/>
                          <w:spacing w:val="-2"/>
                          <w:szCs w:val="21"/>
                          <w:u w:val="single"/>
                        </w:rPr>
                        <w:t>业绩比较基准为管理人对本产品所设定的投资目标，不代表理财产品未来表现，不等于理财产品实际收益，不作为产品收益的业绩保证，投资者的实际收益由产品净值表现决定。</w:t>
                      </w:r>
                    </w:p>
                    <w:p>
                      <w:pPr>
                        <w:numPr>
                          <w:ilvl w:val="0"/>
                          <w:numId w:val="1"/>
                        </w:numPr>
                        <w:rPr>
                          <w:rFonts w:hint="eastAsia" w:ascii="楷体" w:hAnsi="楷体" w:eastAsia="楷体" w:cs="宋体"/>
                          <w:b/>
                          <w:spacing w:val="-2"/>
                          <w:szCs w:val="21"/>
                          <w:highlight w:val="none"/>
                          <w:u w:val="single"/>
                        </w:rPr>
                      </w:pPr>
                      <w:r>
                        <w:rPr>
                          <w:rFonts w:hint="eastAsia" w:ascii="楷体" w:hAnsi="楷体" w:eastAsia="楷体" w:cs="宋体"/>
                          <w:b/>
                          <w:spacing w:val="-2"/>
                          <w:szCs w:val="21"/>
                          <w:highlight w:val="none"/>
                          <w:u w:val="single"/>
                        </w:rPr>
                        <w:t>客户服务热线：95319-</w:t>
                      </w:r>
                      <w:r>
                        <w:rPr>
                          <w:rFonts w:hint="eastAsia" w:ascii="楷体" w:hAnsi="楷体" w:eastAsia="楷体" w:cs="宋体"/>
                          <w:b/>
                          <w:spacing w:val="-2"/>
                          <w:szCs w:val="21"/>
                          <w:highlight w:val="none"/>
                          <w:u w:val="single"/>
                          <w:lang w:val="en-US" w:eastAsia="zh-CN"/>
                        </w:rPr>
                        <w:t>8-2</w:t>
                      </w:r>
                      <w:r>
                        <w:rPr>
                          <w:rFonts w:hint="eastAsia" w:ascii="楷体" w:hAnsi="楷体" w:eastAsia="楷体" w:cs="宋体"/>
                          <w:b/>
                          <w:spacing w:val="-2"/>
                          <w:szCs w:val="21"/>
                          <w:highlight w:val="none"/>
                          <w:u w:val="single"/>
                        </w:rPr>
                        <w:t>。</w:t>
                      </w:r>
                    </w:p>
                    <w:p>
                      <w:pPr>
                        <w:numPr>
                          <w:ilvl w:val="0"/>
                          <w:numId w:val="0"/>
                        </w:numPr>
                        <w:ind w:leftChars="0"/>
                        <w:rPr>
                          <w:rFonts w:hint="eastAsia" w:ascii="楷体" w:hAnsi="楷体" w:eastAsia="楷体" w:cs="宋体"/>
                          <w:b w:val="0"/>
                          <w:bCs/>
                          <w:spacing w:val="-2"/>
                          <w:szCs w:val="21"/>
                          <w:highlight w:val="none"/>
                          <w:u w:val="none"/>
                        </w:rPr>
                      </w:pPr>
                      <w:r>
                        <w:rPr>
                          <w:rFonts w:hint="eastAsia" w:ascii="楷体" w:hAnsi="楷体" w:eastAsia="楷体" w:cs="宋体"/>
                          <w:b w:val="0"/>
                          <w:bCs/>
                          <w:spacing w:val="-2"/>
                          <w:szCs w:val="21"/>
                          <w:highlight w:val="none"/>
                          <w:u w:val="none"/>
                        </w:rPr>
                        <w:t>以上为本产品的特别提示，详细内容请仔细阅读理财产品合同。</w:t>
                      </w:r>
                    </w:p>
                    <w:p>
                      <w:pPr>
                        <w:jc w:val="left"/>
                        <w:rPr>
                          <w:rFonts w:hint="eastAsia" w:ascii="楷体" w:hAnsi="楷体" w:eastAsia="楷体"/>
                        </w:rPr>
                      </w:pPr>
                    </w:p>
                  </w:txbxContent>
                </v:textbox>
                <w10:wrap type="square"/>
              </v:shape>
            </w:pict>
          </mc:Fallback>
        </mc:AlternateContent>
      </w:r>
      <w:r>
        <w:rPr>
          <w:rFonts w:hint="eastAsia" w:ascii="楷体" w:hAnsi="楷体" w:eastAsia="楷体"/>
          <w:b/>
          <w:sz w:val="36"/>
          <w:szCs w:val="36"/>
        </w:rPr>
        <w:t>“苏银理财</w:t>
      </w:r>
      <w:r>
        <w:rPr>
          <w:rFonts w:hint="eastAsia" w:ascii="楷体" w:hAnsi="楷体" w:eastAsia="楷体"/>
          <w:b/>
          <w:sz w:val="36"/>
          <w:szCs w:val="36"/>
          <w:lang w:eastAsia="zh-CN"/>
        </w:rPr>
        <w:t>恒源季开放7号</w:t>
      </w:r>
      <w:r>
        <w:rPr>
          <w:rFonts w:hint="eastAsia" w:ascii="楷体" w:hAnsi="楷体" w:eastAsia="楷体"/>
          <w:b/>
          <w:sz w:val="36"/>
          <w:szCs w:val="36"/>
        </w:rPr>
        <w:t>”理财产品合同</w:t>
      </w:r>
    </w:p>
    <w:p>
      <w:pPr>
        <w:pStyle w:val="12"/>
        <w:spacing w:before="0" w:beforeAutospacing="0" w:after="0" w:afterAutospacing="0" w:line="360" w:lineRule="auto"/>
        <w:jc w:val="center"/>
        <w:outlineLvl w:val="0"/>
        <w:rPr>
          <w:rFonts w:hint="eastAsia" w:ascii="楷体" w:hAnsi="楷体" w:eastAsia="楷体"/>
          <w:b/>
        </w:rPr>
      </w:pPr>
      <w:r>
        <w:rPr>
          <w:rFonts w:hint="eastAsia" w:ascii="楷体" w:hAnsi="楷体" w:eastAsia="楷体"/>
          <w:b/>
          <w:sz w:val="32"/>
          <w:szCs w:val="32"/>
        </w:rPr>
        <w:t>理财非存款、产品有风险、投资须谨慎</w:t>
      </w:r>
    </w:p>
    <w:p>
      <w:pPr>
        <w:pStyle w:val="12"/>
        <w:spacing w:before="0" w:beforeAutospacing="0" w:after="156" w:afterLines="50" w:afterAutospacing="0" w:line="360" w:lineRule="auto"/>
        <w:jc w:val="center"/>
        <w:rPr>
          <w:rFonts w:hint="eastAsia" w:ascii="楷体" w:hAnsi="楷体" w:eastAsia="楷体"/>
          <w:b/>
          <w:lang w:val="en-US" w:eastAsia="zh-CN"/>
        </w:rPr>
      </w:pPr>
      <w:r>
        <w:rPr>
          <w:rFonts w:hint="eastAsia" w:ascii="楷体" w:hAnsi="楷体" w:eastAsia="楷体"/>
          <w:b/>
        </w:rPr>
        <w:t>（202</w:t>
      </w:r>
      <w:r>
        <w:rPr>
          <w:rFonts w:hint="eastAsia" w:ascii="楷体" w:hAnsi="楷体" w:eastAsia="楷体"/>
          <w:b/>
          <w:lang w:val="en-US" w:eastAsia="zh-CN"/>
        </w:rPr>
        <w:t>5</w:t>
      </w:r>
      <w:r>
        <w:rPr>
          <w:rFonts w:hint="eastAsia" w:ascii="楷体" w:hAnsi="楷体" w:eastAsia="楷体"/>
          <w:b/>
        </w:rPr>
        <w:t>年</w:t>
      </w:r>
      <w:r>
        <w:rPr>
          <w:rFonts w:hint="eastAsia" w:ascii="楷体" w:hAnsi="楷体" w:eastAsia="楷体"/>
          <w:b/>
          <w:lang w:val="en-US" w:eastAsia="zh-CN"/>
        </w:rPr>
        <w:t>7</w:t>
      </w:r>
      <w:r>
        <w:rPr>
          <w:rFonts w:hint="eastAsia" w:ascii="楷体" w:hAnsi="楷体" w:eastAsia="楷体"/>
          <w:b/>
        </w:rPr>
        <w:t>月版）</w:t>
      </w:r>
      <w:r>
        <w:rPr>
          <w:rFonts w:hint="eastAsia" w:ascii="楷体" w:hAnsi="楷体" w:eastAsia="楷体"/>
          <w:b/>
          <w:lang w:val="en-US" w:eastAsia="zh-CN"/>
        </w:rPr>
        <w:t xml:space="preserve"> </w:t>
      </w:r>
    </w:p>
    <w:tbl>
      <w:tblPr>
        <w:tblStyle w:val="14"/>
        <w:tblW w:w="893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93"/>
        <w:gridCol w:w="5443"/>
        <w:gridCol w:w="249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Style w:val="17"/>
                <w:rFonts w:hint="eastAsia" w:ascii="楷体" w:hAnsi="楷体" w:eastAsia="楷体"/>
                <w:bCs w:val="0"/>
              </w:rPr>
              <w:t>序号</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Style w:val="17"/>
                <w:rFonts w:hint="eastAsia" w:ascii="楷体" w:hAnsi="楷体" w:eastAsia="楷体"/>
                <w:bCs w:val="0"/>
              </w:rPr>
              <w:t>理财产品合同中的具体文件名称</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Style w:val="17"/>
                <w:rFonts w:hint="eastAsia" w:ascii="楷体" w:hAnsi="楷体" w:eastAsia="楷体"/>
                <w:bCs w:val="0"/>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1</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w:t>
            </w:r>
            <w:r>
              <w:rPr>
                <w:rFonts w:hint="eastAsia" w:ascii="楷体" w:hAnsi="楷体" w:eastAsia="楷体"/>
                <w:sz w:val="18"/>
                <w:szCs w:val="18"/>
                <w:lang w:eastAsia="zh-CN"/>
              </w:rPr>
              <w:t>恒源季开放7号</w:t>
            </w:r>
            <w:r>
              <w:rPr>
                <w:rFonts w:hint="eastAsia" w:ascii="楷体" w:hAnsi="楷体" w:eastAsia="楷体"/>
                <w:sz w:val="18"/>
                <w:szCs w:val="18"/>
              </w:rPr>
              <w:t>”理财产品风险揭示书</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2</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w:t>
            </w:r>
            <w:r>
              <w:rPr>
                <w:rFonts w:hint="eastAsia" w:ascii="楷体" w:hAnsi="楷体" w:eastAsia="楷体"/>
                <w:sz w:val="18"/>
                <w:szCs w:val="18"/>
                <w:lang w:eastAsia="zh-CN"/>
              </w:rPr>
              <w:t>恒源季开放7号</w:t>
            </w:r>
            <w:r>
              <w:rPr>
                <w:rFonts w:hint="eastAsia" w:ascii="楷体" w:hAnsi="楷体" w:eastAsia="楷体"/>
                <w:sz w:val="18"/>
                <w:szCs w:val="18"/>
              </w:rPr>
              <w:t>”理财产品说明书</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理财产品说明书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3</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苏银理财有限责任公司理财产品投资协议书</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理财产品投资协议书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4</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hint="eastAsia" w:ascii="楷体" w:hAnsi="楷体" w:eastAsia="楷体"/>
                <w:sz w:val="18"/>
                <w:szCs w:val="18"/>
                <w:lang w:eastAsia="zh-CN"/>
              </w:rPr>
            </w:pPr>
            <w:r>
              <w:rPr>
                <w:rFonts w:hint="eastAsia" w:ascii="楷体" w:hAnsi="楷体" w:eastAsia="楷体"/>
                <w:sz w:val="18"/>
                <w:szCs w:val="18"/>
                <w:lang w:eastAsia="zh-CN"/>
              </w:rPr>
              <w:t>投资者权益须知</w:t>
            </w:r>
            <w:r>
              <w:rPr>
                <w:rStyle w:val="20"/>
                <w:rFonts w:hint="eastAsia" w:ascii="楷体" w:hAnsi="楷体" w:eastAsia="楷体"/>
                <w:sz w:val="18"/>
                <w:szCs w:val="18"/>
                <w:lang w:eastAsia="zh-CN"/>
              </w:rPr>
              <w:footnoteReference w:id="0"/>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投资者权益须知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5</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lang w:eastAsia="zh-CN"/>
              </w:rPr>
              <w:t>理财产品（代理）销售协议书</w:t>
            </w:r>
            <w:r>
              <w:rPr>
                <w:rStyle w:val="20"/>
                <w:rFonts w:ascii="楷体" w:hAnsi="楷体" w:eastAsia="楷体"/>
              </w:rPr>
              <w:footnoteReference w:id="1"/>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hint="eastAsia" w:ascii="楷体" w:hAnsi="楷体" w:eastAsia="楷体"/>
                <w:sz w:val="18"/>
                <w:szCs w:val="18"/>
                <w:lang w:eastAsia="zh-CN"/>
              </w:rPr>
            </w:pPr>
            <w:r>
              <w:rPr>
                <w:rFonts w:hint="eastAsia" w:ascii="楷体" w:hAnsi="楷体" w:eastAsia="楷体"/>
                <w:sz w:val="18"/>
                <w:szCs w:val="18"/>
                <w:lang w:eastAsia="zh-CN"/>
              </w:rPr>
              <w:t>理财产品（代理）销售协议书</w:t>
            </w:r>
          </w:p>
        </w:tc>
      </w:tr>
    </w:tbl>
    <w:p>
      <w:pPr>
        <w:pStyle w:val="12"/>
        <w:spacing w:before="156" w:beforeLines="50" w:beforeAutospacing="0" w:after="0" w:afterAutospacing="0" w:line="280" w:lineRule="atLeast"/>
        <w:rPr>
          <w:rFonts w:hint="eastAsia" w:ascii="楷体" w:hAnsi="楷体" w:eastAsia="楷体"/>
        </w:rPr>
      </w:pPr>
      <w:r>
        <w:rPr>
          <w:rStyle w:val="17"/>
          <w:rFonts w:hint="eastAsia" w:ascii="楷体" w:hAnsi="楷体" w:eastAsia="楷体"/>
          <w:bCs w:val="0"/>
        </w:rPr>
        <w:t>郑重提示：</w:t>
      </w:r>
    </w:p>
    <w:p>
      <w:pPr>
        <w:pStyle w:val="12"/>
        <w:spacing w:before="156" w:beforeLines="50" w:beforeAutospacing="0" w:after="0" w:afterAutospacing="0"/>
        <w:ind w:firstLine="480" w:firstLineChars="200"/>
        <w:rPr>
          <w:rFonts w:hint="eastAsia" w:ascii="楷体" w:hAnsi="楷体" w:eastAsia="楷体"/>
        </w:rPr>
      </w:pPr>
      <w:r>
        <w:rPr>
          <w:rFonts w:hint="eastAsia" w:ascii="楷体" w:hAnsi="楷体" w:eastAsia="楷体" w:cs="Times New Roman"/>
        </w:rPr>
        <w:t>《风险揭示书》、《理财产品说明书》、《</w:t>
      </w:r>
      <w:r>
        <w:rPr>
          <w:rFonts w:hint="eastAsia" w:ascii="楷体" w:hAnsi="楷体" w:eastAsia="楷体" w:cs="Times New Roman"/>
          <w:lang w:eastAsia="zh-CN"/>
        </w:rPr>
        <w:t>理财产品（代理）销售协议书</w:t>
      </w:r>
      <w:r>
        <w:rPr>
          <w:rFonts w:hint="eastAsia" w:ascii="楷体" w:hAnsi="楷体" w:eastAsia="楷体" w:cs="Times New Roman"/>
        </w:rPr>
        <w:t>》、《理财产品投资协议书》、《投资者权益须知》等文件共同构成一份完整且不可分割的理财产品合同。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重新完成风险承受能力评估。</w:t>
      </w:r>
    </w:p>
    <w:p>
      <w:pPr>
        <w:pStyle w:val="12"/>
        <w:spacing w:before="156" w:beforeLines="50" w:beforeAutospacing="0" w:after="0" w:afterAutospacing="0"/>
        <w:ind w:firstLine="480" w:firstLineChars="200"/>
        <w:rPr>
          <w:rFonts w:ascii="楷体" w:hAnsi="楷体" w:eastAsia="楷体" w:cs="黑体"/>
          <w:sz w:val="30"/>
          <w:szCs w:val="30"/>
        </w:rPr>
      </w:pPr>
      <w:r>
        <w:rPr>
          <w:rFonts w:hint="eastAsia" w:ascii="楷体" w:hAnsi="楷体" w:eastAsia="楷体" w:cs="Times New Roman"/>
        </w:rPr>
        <w:t>为了维护您的权益，请在签署有关理财产品销售文件前，仔细阅读理财产品销售文件各条款（特别是“黑体字”、划线条款以及“★”标识），充分了解理财业务的运作细则，各方的权利、义务和责任。如有疑问，可向理财产品管理人或销售机构咨询。</w:t>
      </w:r>
    </w:p>
    <w:p>
      <w:pPr>
        <w:pStyle w:val="12"/>
        <w:spacing w:before="0" w:beforeAutospacing="0" w:after="0" w:afterAutospacing="0" w:line="360" w:lineRule="auto"/>
        <w:jc w:val="center"/>
        <w:outlineLvl w:val="0"/>
        <w:rPr>
          <w:rFonts w:hint="eastAsia" w:ascii="楷体" w:hAnsi="楷体" w:eastAsia="楷体"/>
          <w:b/>
          <w:sz w:val="36"/>
          <w:szCs w:val="36"/>
        </w:rPr>
      </w:pPr>
      <w:r>
        <w:rPr>
          <w:rFonts w:hint="eastAsia" w:ascii="楷体" w:hAnsi="楷体" w:eastAsia="楷体"/>
          <w:sz w:val="24"/>
          <w:szCs w:val="24"/>
        </w:rPr>
        <w:br w:type="page"/>
      </w:r>
      <w:r>
        <w:rPr>
          <w:rFonts w:hint="eastAsia" w:ascii="楷体" w:hAnsi="楷体" w:eastAsia="楷体"/>
          <w:b/>
          <w:sz w:val="36"/>
          <w:szCs w:val="36"/>
        </w:rPr>
        <w:t>“苏银理财</w:t>
      </w:r>
      <w:r>
        <w:rPr>
          <w:rFonts w:hint="eastAsia" w:ascii="楷体" w:hAnsi="楷体" w:eastAsia="楷体"/>
          <w:b/>
          <w:sz w:val="36"/>
          <w:szCs w:val="36"/>
          <w:lang w:eastAsia="zh-CN"/>
        </w:rPr>
        <w:t>恒源季开放7号</w:t>
      </w:r>
      <w:r>
        <w:rPr>
          <w:rFonts w:hint="eastAsia" w:ascii="楷体" w:hAnsi="楷体" w:eastAsia="楷体"/>
          <w:b/>
          <w:sz w:val="36"/>
          <w:szCs w:val="36"/>
        </w:rPr>
        <w:t>”理财产品说明书</w:t>
      </w:r>
    </w:p>
    <w:p>
      <w:pPr>
        <w:jc w:val="center"/>
        <w:outlineLvl w:val="0"/>
        <w:rPr>
          <w:rFonts w:hint="eastAsia" w:ascii="楷体" w:hAnsi="楷体" w:eastAsia="楷体"/>
          <w:b/>
          <w:sz w:val="28"/>
          <w:szCs w:val="28"/>
        </w:rPr>
      </w:pPr>
      <w:r>
        <w:rPr>
          <w:rFonts w:hint="eastAsia" w:ascii="楷体" w:hAnsi="楷体" w:eastAsia="楷体" w:cs="宋体"/>
          <w:b/>
          <w:kern w:val="0"/>
          <w:sz w:val="32"/>
          <w:szCs w:val="32"/>
        </w:rPr>
        <w:t>理财非存款、产品有风险、投资须谨慎</w:t>
      </w:r>
    </w:p>
    <w:p>
      <w:pPr>
        <w:outlineLvl w:val="0"/>
        <w:rPr>
          <w:rFonts w:hint="eastAsia" w:ascii="楷体" w:hAnsi="楷体" w:eastAsia="楷体"/>
          <w:b/>
          <w:sz w:val="28"/>
          <w:szCs w:val="28"/>
          <w:lang w:val="en-US" w:eastAsia="zh-CN"/>
        </w:rPr>
      </w:pPr>
      <w:r>
        <w:rPr>
          <w:rFonts w:hint="eastAsia" w:ascii="楷体" w:hAnsi="楷体" w:eastAsia="楷体"/>
          <w:b/>
          <w:sz w:val="28"/>
          <w:szCs w:val="28"/>
        </w:rPr>
        <w:t>重要须知</w:t>
      </w:r>
    </w:p>
    <w:p>
      <w:pPr>
        <w:numPr>
          <w:ilvl w:val="0"/>
          <w:numId w:val="2"/>
        </w:numPr>
        <w:rPr>
          <w:rFonts w:ascii="楷体" w:hAnsi="楷体" w:eastAsia="楷体"/>
          <w:sz w:val="24"/>
          <w:szCs w:val="24"/>
        </w:rPr>
      </w:pPr>
      <w:r>
        <w:rPr>
          <w:rFonts w:hint="eastAsia" w:ascii="楷体" w:hAnsi="楷体" w:eastAsia="楷体"/>
          <w:sz w:val="24"/>
          <w:szCs w:val="24"/>
        </w:rPr>
        <w:t>在购买本理财产品前，投资者应确保自己完全理解该项投资的性质和所涉及的风险，详细了解和审慎评估该理财产品的资金方向、风险类型等基本情况，在慎重考虑后自行决定购买与自身风险承受能力和资产管理需求匹配的理财产品。</w:t>
      </w:r>
    </w:p>
    <w:p>
      <w:pPr>
        <w:numPr>
          <w:ilvl w:val="0"/>
          <w:numId w:val="2"/>
        </w:numPr>
        <w:rPr>
          <w:rFonts w:ascii="楷体" w:hAnsi="楷体" w:eastAsia="楷体"/>
          <w:b/>
          <w:sz w:val="24"/>
          <w:szCs w:val="24"/>
          <w:u w:val="single"/>
        </w:rPr>
      </w:pPr>
      <w:r>
        <w:rPr>
          <w:rFonts w:hint="eastAsia" w:ascii="楷体" w:hAnsi="楷体" w:eastAsia="楷体"/>
          <w:b/>
          <w:sz w:val="24"/>
          <w:szCs w:val="24"/>
          <w:u w:val="single"/>
        </w:rPr>
        <w:t>本理财产品不保证本金及收益，您的本金可能因市场变动</w:t>
      </w:r>
      <w:r>
        <w:rPr>
          <w:rFonts w:hint="eastAsia" w:ascii="楷体" w:hAnsi="楷体" w:eastAsia="楷体"/>
          <w:b/>
          <w:sz w:val="24"/>
          <w:szCs w:val="24"/>
          <w:u w:val="single"/>
          <w:lang w:val="en-US" w:eastAsia="zh-CN"/>
        </w:rPr>
        <w:t>或者交易违约等事项</w:t>
      </w:r>
      <w:r>
        <w:rPr>
          <w:rFonts w:hint="eastAsia" w:ascii="楷体" w:hAnsi="楷体" w:eastAsia="楷体"/>
          <w:b/>
          <w:sz w:val="24"/>
          <w:szCs w:val="24"/>
          <w:u w:val="single"/>
        </w:rPr>
        <w:t>而蒙受相应损失，投资者应充分认识投资风险，谨慎投资；本理财产品过往业绩不代表其未来表现，不等于理财产品实际收益，投资须谨慎；理财非存款、产品有风险、投资须谨慎。</w:t>
      </w:r>
    </w:p>
    <w:p>
      <w:pPr>
        <w:numPr>
          <w:ilvl w:val="0"/>
          <w:numId w:val="2"/>
        </w:numPr>
        <w:rPr>
          <w:rFonts w:ascii="楷体" w:hAnsi="楷体" w:eastAsia="楷体"/>
          <w:b/>
          <w:sz w:val="24"/>
          <w:szCs w:val="24"/>
          <w:u w:val="single"/>
        </w:rPr>
      </w:pPr>
      <w:r>
        <w:rPr>
          <w:rFonts w:hint="eastAsia" w:ascii="楷体" w:hAnsi="楷体" w:eastAsia="楷体"/>
          <w:b/>
          <w:sz w:val="24"/>
          <w:szCs w:val="24"/>
          <w:u w:val="single"/>
        </w:rPr>
        <w:t>本理财产品的任何业绩比较区间、业绩比较基准类似表述均属不具有法律约束力的用语，业绩比较基准</w:t>
      </w:r>
      <w:r>
        <w:rPr>
          <w:rFonts w:hint="eastAsia" w:ascii="楷体" w:hAnsi="楷体" w:eastAsia="楷体"/>
          <w:b/>
          <w:sz w:val="24"/>
          <w:szCs w:val="24"/>
          <w:u w:val="single"/>
          <w:lang w:val="en-US" w:eastAsia="zh-CN"/>
        </w:rPr>
        <w:t>为管理人</w:t>
      </w:r>
      <w:r>
        <w:rPr>
          <w:rFonts w:hint="eastAsia" w:ascii="楷体" w:hAnsi="楷体" w:eastAsia="楷体"/>
          <w:b/>
          <w:sz w:val="24"/>
          <w:szCs w:val="24"/>
          <w:u w:val="single"/>
        </w:rPr>
        <w:t>对本产品所设定的投资目标</w:t>
      </w:r>
      <w:r>
        <w:rPr>
          <w:rFonts w:hint="eastAsia" w:ascii="楷体" w:hAnsi="楷体" w:eastAsia="楷体"/>
          <w:b/>
          <w:sz w:val="24"/>
          <w:szCs w:val="24"/>
          <w:u w:val="single"/>
          <w:lang w:eastAsia="zh-CN"/>
        </w:rPr>
        <w:t>，</w:t>
      </w:r>
      <w:r>
        <w:rPr>
          <w:rFonts w:hint="eastAsia" w:ascii="楷体" w:hAnsi="楷体" w:eastAsia="楷体"/>
          <w:b/>
          <w:sz w:val="24"/>
          <w:szCs w:val="24"/>
          <w:u w:val="single"/>
        </w:rPr>
        <w:t>不代表投资者可能获得的实际收益，亦不构成苏银理财有限责任公司（以下简称“苏银理财”）对本理财产品的任何收益承诺。</w:t>
      </w:r>
    </w:p>
    <w:p>
      <w:pPr>
        <w:numPr>
          <w:ilvl w:val="0"/>
          <w:numId w:val="2"/>
        </w:numPr>
        <w:rPr>
          <w:rFonts w:ascii="楷体" w:hAnsi="楷体" w:eastAsia="楷体"/>
          <w:sz w:val="24"/>
          <w:szCs w:val="24"/>
        </w:rPr>
      </w:pPr>
      <w:r>
        <w:rPr>
          <w:rFonts w:hint="eastAsia" w:ascii="楷体" w:hAnsi="楷体" w:eastAsia="楷体"/>
          <w:sz w:val="24"/>
          <w:szCs w:val="24"/>
        </w:rPr>
        <w:t>《理财产品说明书》、《风险揭示书》、《投资者权益须知》、《理财产品投资协议书》、《理财产品（代理）销售协议书》共同构成本理财产品完整的不可分割的理财产品合同。</w:t>
      </w:r>
    </w:p>
    <w:p>
      <w:pPr>
        <w:numPr>
          <w:ilvl w:val="0"/>
          <w:numId w:val="2"/>
        </w:numPr>
        <w:rPr>
          <w:rFonts w:ascii="楷体" w:hAnsi="楷体" w:eastAsia="楷体"/>
          <w:sz w:val="24"/>
          <w:szCs w:val="24"/>
        </w:rPr>
      </w:pPr>
      <w:r>
        <w:rPr>
          <w:rFonts w:hint="eastAsia" w:ascii="楷体" w:hAnsi="楷体" w:eastAsia="楷体"/>
          <w:sz w:val="24"/>
          <w:szCs w:val="24"/>
        </w:rPr>
        <w:t>本理财产品涉及的主要风险包括政策风险、信用风险、市场风险、流动性风险、管理风险、操作风险、产品不成立风险、延期兑付风险、提前终止风险、信息传递风险、税务风险、代销风险</w:t>
      </w:r>
      <w:r>
        <w:rPr>
          <w:rFonts w:hint="eastAsia" w:ascii="楷体" w:hAnsi="楷体" w:eastAsia="楷体"/>
          <w:sz w:val="24"/>
          <w:szCs w:val="24"/>
          <w:lang w:eastAsia="zh-CN"/>
        </w:rPr>
        <w:t>（</w:t>
      </w:r>
      <w:r>
        <w:rPr>
          <w:rFonts w:hint="eastAsia" w:ascii="楷体" w:hAnsi="楷体" w:eastAsia="楷体"/>
          <w:sz w:val="24"/>
          <w:szCs w:val="24"/>
          <w:lang w:val="en-US" w:eastAsia="zh-CN"/>
        </w:rPr>
        <w:t>如有</w:t>
      </w:r>
      <w:r>
        <w:rPr>
          <w:rFonts w:hint="eastAsia" w:ascii="楷体" w:hAnsi="楷体" w:eastAsia="楷体"/>
          <w:sz w:val="24"/>
          <w:szCs w:val="24"/>
          <w:lang w:eastAsia="zh-CN"/>
        </w:rPr>
        <w:t>）</w:t>
      </w:r>
      <w:r>
        <w:rPr>
          <w:rFonts w:hint="eastAsia" w:ascii="楷体" w:hAnsi="楷体" w:eastAsia="楷体"/>
          <w:sz w:val="24"/>
          <w:szCs w:val="24"/>
        </w:rPr>
        <w:t>、其他风险等。请仔细阅读《“苏银理财</w:t>
      </w:r>
      <w:r>
        <w:rPr>
          <w:rFonts w:hint="eastAsia" w:ascii="楷体" w:hAnsi="楷体" w:eastAsia="楷体"/>
          <w:sz w:val="24"/>
          <w:szCs w:val="24"/>
          <w:lang w:eastAsia="zh-CN"/>
        </w:rPr>
        <w:t>恒源季开放7号</w:t>
      </w:r>
      <w:r>
        <w:rPr>
          <w:rFonts w:hint="eastAsia" w:ascii="楷体" w:hAnsi="楷体" w:eastAsia="楷体"/>
          <w:sz w:val="24"/>
          <w:szCs w:val="24"/>
        </w:rPr>
        <w:t>”理财产品风险揭示书》的“风险揭示”部分。</w:t>
      </w:r>
    </w:p>
    <w:p>
      <w:pPr>
        <w:numPr>
          <w:ilvl w:val="0"/>
          <w:numId w:val="2"/>
        </w:numPr>
        <w:rPr>
          <w:rFonts w:ascii="楷体" w:hAnsi="楷体" w:eastAsia="楷体"/>
          <w:b/>
          <w:sz w:val="24"/>
          <w:szCs w:val="24"/>
          <w:u w:val="single"/>
        </w:rPr>
      </w:pPr>
      <w:r>
        <w:rPr>
          <w:rFonts w:hint="eastAsia" w:ascii="楷体" w:hAnsi="楷体" w:eastAsia="楷体"/>
          <w:b/>
          <w:sz w:val="24"/>
          <w:szCs w:val="24"/>
          <w:u w:val="single"/>
        </w:rPr>
        <w:t>投资者不得使用贷款、发行债券等筹集的非自有资金投资本理财产品。</w:t>
      </w:r>
    </w:p>
    <w:p>
      <w:pPr>
        <w:numPr>
          <w:ilvl w:val="0"/>
          <w:numId w:val="2"/>
        </w:numPr>
        <w:rPr>
          <w:rFonts w:hint="eastAsia" w:ascii="楷体" w:hAnsi="楷体" w:eastAsia="楷体"/>
          <w:sz w:val="24"/>
          <w:szCs w:val="24"/>
        </w:rPr>
      </w:pPr>
      <w:r>
        <w:rPr>
          <w:rFonts w:hint="eastAsia" w:ascii="楷体" w:hAnsi="楷体" w:eastAsia="楷体"/>
          <w:sz w:val="24"/>
          <w:szCs w:val="24"/>
        </w:rPr>
        <w:t>本理财产品类型为</w:t>
      </w:r>
      <w:r>
        <w:rPr>
          <w:rFonts w:hint="eastAsia" w:ascii="楷体" w:hAnsi="楷体" w:eastAsia="楷体"/>
          <w:b/>
          <w:sz w:val="24"/>
          <w:szCs w:val="24"/>
          <w:u w:val="single"/>
        </w:rPr>
        <w:t>固定收益类</w:t>
      </w:r>
      <w:r>
        <w:rPr>
          <w:rFonts w:hint="eastAsia" w:ascii="楷体" w:hAnsi="楷体" w:eastAsia="楷体"/>
          <w:sz w:val="24"/>
          <w:szCs w:val="24"/>
        </w:rPr>
        <w:t>产品。若法律法规、监管政策及市场情况发生变化，苏银理财有权在不改变产品类型的情况下，可对本说明书中已约定的投资范围、投资品种、投资比例以及收费项目、条件、标准、方式和收益分配原则进行调整。</w:t>
      </w:r>
      <w:r>
        <w:rPr>
          <w:rFonts w:hint="eastAsia" w:ascii="楷体" w:hAnsi="楷体" w:eastAsia="楷体"/>
          <w:b/>
          <w:bCs/>
          <w:sz w:val="24"/>
          <w:szCs w:val="24"/>
          <w:u w:val="single"/>
          <w:lang w:val="en-US" w:eastAsia="zh-CN"/>
        </w:rPr>
        <w:t>产品管理人将于调整事项生效前2个工作日通过短信及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r>
        <w:rPr>
          <w:rFonts w:hint="eastAsia" w:ascii="楷体" w:hAnsi="楷体" w:eastAsia="楷体"/>
          <w:b/>
          <w:bCs/>
          <w:sz w:val="24"/>
          <w:szCs w:val="24"/>
          <w:u w:val="single"/>
        </w:rPr>
        <w:t>。</w:t>
      </w:r>
    </w:p>
    <w:p>
      <w:pPr>
        <w:numPr>
          <w:ilvl w:val="0"/>
          <w:numId w:val="2"/>
        </w:numPr>
        <w:rPr>
          <w:rFonts w:ascii="楷体" w:hAnsi="楷体" w:eastAsia="楷体"/>
          <w:sz w:val="24"/>
          <w:szCs w:val="24"/>
        </w:rPr>
      </w:pPr>
      <w:r>
        <w:rPr>
          <w:rFonts w:hint="eastAsia" w:ascii="楷体" w:hAnsi="楷体" w:eastAsia="楷体"/>
          <w:sz w:val="24"/>
          <w:szCs w:val="24"/>
        </w:rPr>
        <w:t>为贯彻落实</w:t>
      </w:r>
      <w:r>
        <w:rPr>
          <w:rFonts w:hint="eastAsia" w:ascii="楷体" w:hAnsi="楷体" w:eastAsia="楷体"/>
          <w:sz w:val="24"/>
          <w:szCs w:val="24"/>
          <w:lang w:val="en-US" w:eastAsia="zh-CN"/>
        </w:rPr>
        <w:t>金融监管总局</w:t>
      </w:r>
      <w:r>
        <w:rPr>
          <w:rFonts w:hint="eastAsia" w:ascii="楷体" w:hAnsi="楷体" w:eastAsia="楷体"/>
          <w:sz w:val="24"/>
          <w:szCs w:val="24"/>
        </w:rPr>
        <w:t>和银行业理财登记托管中心的要求，苏银理财将向监管机构报送理财产品投资者身份信息、每日交易、持仓等信息。后续</w:t>
      </w:r>
      <w:r>
        <w:rPr>
          <w:rFonts w:hint="eastAsia" w:ascii="楷体" w:hAnsi="楷体" w:eastAsia="楷体"/>
          <w:sz w:val="24"/>
          <w:szCs w:val="24"/>
          <w:lang w:val="en-US" w:eastAsia="zh-CN"/>
        </w:rPr>
        <w:t>金融监管总局</w:t>
      </w:r>
      <w:r>
        <w:rPr>
          <w:rFonts w:hint="eastAsia" w:ascii="楷体" w:hAnsi="楷体" w:eastAsia="楷体"/>
          <w:sz w:val="24"/>
          <w:szCs w:val="24"/>
        </w:rPr>
        <w:t>和银行业理财登记托管中心等机关如果提出新的信息报送要求，苏银理财将按照该等机关的要求执行。投资者签署本理财产品销售文件即视为已经同意苏银理财将按照相关机关要求报送投资者相关信息。</w:t>
      </w:r>
    </w:p>
    <w:p>
      <w:pPr>
        <w:numPr>
          <w:ilvl w:val="0"/>
          <w:numId w:val="2"/>
        </w:numPr>
        <w:rPr>
          <w:rFonts w:ascii="楷体" w:hAnsi="楷体" w:eastAsia="楷体"/>
          <w:sz w:val="24"/>
          <w:szCs w:val="24"/>
        </w:rPr>
      </w:pPr>
      <w:r>
        <w:rPr>
          <w:rFonts w:hint="eastAsia" w:ascii="楷体" w:hAnsi="楷体" w:eastAsia="楷体"/>
          <w:sz w:val="24"/>
          <w:szCs w:val="24"/>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rPr>
          <w:rFonts w:ascii="楷体" w:hAnsi="楷体" w:eastAsia="楷体"/>
          <w:sz w:val="24"/>
          <w:szCs w:val="24"/>
        </w:rPr>
      </w:pPr>
      <w:r>
        <w:rPr>
          <w:rFonts w:hint="eastAsia" w:ascii="楷体" w:hAnsi="楷体" w:eastAsia="楷体"/>
          <w:sz w:val="24"/>
          <w:szCs w:val="24"/>
        </w:rPr>
        <w:t>在购买本理财产品后，投资者应随时关注该理财产品的信息披露情况，及时获取相关信息。</w:t>
      </w:r>
    </w:p>
    <w:p>
      <w:pPr>
        <w:numPr>
          <w:ilvl w:val="0"/>
          <w:numId w:val="2"/>
        </w:numPr>
        <w:rPr>
          <w:rFonts w:hint="eastAsia" w:ascii="楷体" w:hAnsi="楷体" w:eastAsia="楷体"/>
        </w:rPr>
      </w:pPr>
      <w:r>
        <w:rPr>
          <w:rFonts w:hint="eastAsia" w:ascii="楷体" w:hAnsi="楷体" w:eastAsia="楷体"/>
          <w:sz w:val="24"/>
          <w:szCs w:val="24"/>
        </w:rPr>
        <w:t>本理财产品说明书在法律许可的范围内由苏银理财负责解释。</w:t>
      </w:r>
    </w:p>
    <w:p>
      <w:pPr>
        <w:numPr>
          <w:ilvl w:val="0"/>
          <w:numId w:val="3"/>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产品要素</w:t>
      </w:r>
    </w:p>
    <w:p>
      <w:pPr>
        <w:ind w:firstLine="480" w:firstLineChars="200"/>
        <w:rPr>
          <w:rFonts w:ascii="楷体" w:hAnsi="楷体" w:eastAsia="楷体" w:cs="Calibri"/>
          <w:sz w:val="24"/>
          <w:szCs w:val="24"/>
        </w:rPr>
      </w:pPr>
      <w:r>
        <w:rPr>
          <w:rFonts w:hint="eastAsia" w:ascii="楷体" w:hAnsi="楷体" w:eastAsia="楷体" w:cs="Calibri"/>
          <w:sz w:val="24"/>
          <w:szCs w:val="24"/>
        </w:rPr>
        <w:t>为保护投资者合法权益，尊重投资者的知情权和自主选择权，现将本理财产品的基本要素说明如下：</w:t>
      </w:r>
    </w:p>
    <w:tbl>
      <w:tblPr>
        <w:tblStyle w:val="14"/>
        <w:tblW w:w="8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78"/>
        <w:gridCol w:w="6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1"/>
              <w:ind w:left="55"/>
              <w:jc w:val="both"/>
              <w:rPr>
                <w:rFonts w:ascii="楷体" w:hAnsi="楷体" w:eastAsia="楷体" w:cs="宋体"/>
                <w:b/>
                <w:spacing w:val="-2"/>
                <w:sz w:val="21"/>
                <w:szCs w:val="21"/>
              </w:rPr>
            </w:pPr>
            <w:r>
              <w:rPr>
                <w:rFonts w:hint="eastAsia" w:ascii="楷体" w:hAnsi="楷体" w:eastAsia="楷体" w:cs="宋体"/>
                <w:b/>
                <w:spacing w:val="-2"/>
                <w:sz w:val="21"/>
                <w:szCs w:val="21"/>
              </w:rPr>
              <w:t>产品名称</w:t>
            </w:r>
          </w:p>
        </w:tc>
        <w:tc>
          <w:tcPr>
            <w:tcW w:w="6614" w:type="dxa"/>
            <w:noWrap w:val="0"/>
            <w:vAlign w:val="center"/>
          </w:tcPr>
          <w:p>
            <w:pPr>
              <w:pStyle w:val="45"/>
              <w:kinsoku w:val="0"/>
              <w:overflowPunct w:val="0"/>
              <w:spacing w:before="13"/>
              <w:ind w:left="59" w:right="73" w:rightChars="3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rPr>
              <w:t>苏银理财</w:t>
            </w:r>
            <w:r>
              <w:rPr>
                <w:rFonts w:hint="eastAsia" w:ascii="楷体" w:hAnsi="楷体" w:eastAsia="楷体" w:cs="宋体"/>
                <w:spacing w:val="-2"/>
                <w:sz w:val="21"/>
                <w:szCs w:val="21"/>
                <w:lang w:eastAsia="zh-CN"/>
              </w:rPr>
              <w:t>恒源季开放7号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40"/>
              <w:ind w:left="55"/>
              <w:jc w:val="both"/>
              <w:rPr>
                <w:rFonts w:ascii="楷体" w:hAnsi="楷体" w:eastAsia="楷体" w:cs="宋体"/>
                <w:b/>
                <w:spacing w:val="-2"/>
                <w:sz w:val="21"/>
                <w:szCs w:val="21"/>
              </w:rPr>
            </w:pPr>
            <w:r>
              <w:rPr>
                <w:rFonts w:hint="eastAsia" w:ascii="楷体" w:hAnsi="楷体" w:eastAsia="楷体" w:cs="宋体"/>
                <w:b/>
                <w:spacing w:val="-2"/>
                <w:sz w:val="21"/>
                <w:szCs w:val="21"/>
              </w:rPr>
              <w:t>理财产品登记编码</w:t>
            </w:r>
          </w:p>
        </w:tc>
        <w:tc>
          <w:tcPr>
            <w:tcW w:w="6614" w:type="dxa"/>
            <w:noWrap w:val="0"/>
            <w:vAlign w:val="center"/>
          </w:tcPr>
          <w:p>
            <w:pPr>
              <w:pStyle w:val="45"/>
              <w:kinsoku w:val="0"/>
              <w:overflowPunct w:val="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Z7003122000037</w:t>
            </w:r>
          </w:p>
          <w:p>
            <w:pPr>
              <w:pStyle w:val="45"/>
              <w:kinsoku w:val="0"/>
              <w:overflowPunct w:val="0"/>
              <w:ind w:left="59" w:leftChars="0" w:right="73" w:rightChars="35"/>
              <w:jc w:val="both"/>
              <w:rPr>
                <w:rFonts w:ascii="楷体" w:hAnsi="楷体" w:eastAsia="楷体" w:cs="宋体"/>
                <w:spacing w:val="-2"/>
                <w:sz w:val="21"/>
                <w:szCs w:val="21"/>
              </w:rPr>
            </w:pPr>
            <w:r>
              <w:rPr>
                <w:rFonts w:hint="eastAsia" w:ascii="楷体" w:hAnsi="楷体" w:eastAsia="楷体" w:cs="宋体"/>
                <w:spacing w:val="-2"/>
                <w:sz w:val="21"/>
                <w:szCs w:val="21"/>
              </w:rPr>
              <w:t>（投资者可依据该编码在中国理财网</w:t>
            </w:r>
            <w:r>
              <w:rPr>
                <w:rFonts w:ascii="楷体" w:hAnsi="楷体" w:eastAsia="楷体" w:cs="宋体"/>
                <w:spacing w:val="-2"/>
                <w:sz w:val="21"/>
                <w:szCs w:val="21"/>
              </w:rPr>
              <w:fldChar w:fldCharType="begin"/>
            </w:r>
            <w:r>
              <w:rPr>
                <w:rFonts w:ascii="楷体" w:hAnsi="楷体" w:eastAsia="楷体" w:cs="宋体"/>
                <w:spacing w:val="-2"/>
                <w:sz w:val="21"/>
                <w:szCs w:val="21"/>
              </w:rPr>
              <w:instrText xml:space="preserve"> HYPERLINK "http://www.chinawealth.com.cn/" </w:instrText>
            </w:r>
            <w:r>
              <w:rPr>
                <w:rFonts w:ascii="楷体" w:hAnsi="楷体" w:eastAsia="楷体" w:cs="宋体"/>
                <w:spacing w:val="-2"/>
                <w:sz w:val="21"/>
                <w:szCs w:val="21"/>
              </w:rPr>
              <w:fldChar w:fldCharType="separate"/>
            </w:r>
            <w:r>
              <w:rPr>
                <w:rFonts w:ascii="楷体" w:hAnsi="楷体" w:eastAsia="楷体" w:cs="宋体"/>
                <w:spacing w:val="-2"/>
                <w:sz w:val="21"/>
                <w:szCs w:val="21"/>
              </w:rPr>
              <w:t>www.chinawealth.com.cn</w:t>
            </w:r>
            <w:r>
              <w:rPr>
                <w:rFonts w:ascii="楷体" w:hAnsi="楷体" w:eastAsia="楷体" w:cs="宋体"/>
                <w:spacing w:val="-2"/>
                <w:sz w:val="21"/>
                <w:szCs w:val="21"/>
              </w:rPr>
              <w:fldChar w:fldCharType="end"/>
            </w:r>
            <w:r>
              <w:rPr>
                <w:rFonts w:hint="eastAsia" w:ascii="楷体" w:hAnsi="楷体" w:eastAsia="楷体" w:cs="宋体"/>
                <w:spacing w:val="-2"/>
                <w:sz w:val="21"/>
                <w:szCs w:val="21"/>
              </w:rPr>
              <w:t>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278" w:type="dxa"/>
            <w:noWrap w:val="0"/>
            <w:vAlign w:val="center"/>
          </w:tcPr>
          <w:p>
            <w:pPr>
              <w:pStyle w:val="45"/>
              <w:kinsoku w:val="0"/>
              <w:overflowPunct w:val="0"/>
              <w:spacing w:before="13"/>
              <w:ind w:left="55"/>
              <w:jc w:val="both"/>
              <w:rPr>
                <w:rFonts w:ascii="楷体" w:hAnsi="楷体" w:eastAsia="楷体" w:cs="宋体"/>
                <w:b/>
                <w:spacing w:val="-2"/>
                <w:sz w:val="21"/>
                <w:szCs w:val="21"/>
              </w:rPr>
            </w:pPr>
            <w:r>
              <w:rPr>
                <w:rFonts w:hint="eastAsia" w:ascii="楷体" w:hAnsi="楷体" w:eastAsia="楷体" w:cs="宋体"/>
                <w:b/>
                <w:spacing w:val="-2"/>
                <w:sz w:val="21"/>
                <w:szCs w:val="21"/>
              </w:rPr>
              <w:t>销售简称/销售代码</w:t>
            </w:r>
          </w:p>
        </w:tc>
        <w:tc>
          <w:tcPr>
            <w:tcW w:w="6614" w:type="dxa"/>
            <w:noWrap w:val="0"/>
            <w:vAlign w:val="center"/>
          </w:tcPr>
          <w:p>
            <w:pPr>
              <w:pStyle w:val="45"/>
              <w:kinsoku w:val="0"/>
              <w:overflowPunct w:val="0"/>
              <w:spacing w:before="12"/>
              <w:ind w:left="59" w:right="73" w:rightChars="35"/>
              <w:jc w:val="both"/>
              <w:rPr>
                <w:rFonts w:ascii="楷体" w:hAnsi="楷体" w:eastAsia="楷体" w:cs="宋体"/>
                <w:spacing w:val="-2"/>
                <w:sz w:val="21"/>
                <w:szCs w:val="21"/>
              </w:rPr>
            </w:pPr>
            <w:r>
              <w:rPr>
                <w:rFonts w:hint="eastAsia" w:ascii="楷体" w:hAnsi="楷体" w:eastAsia="楷体" w:cs="宋体"/>
                <w:spacing w:val="-2"/>
                <w:sz w:val="21"/>
                <w:szCs w:val="21"/>
              </w:rPr>
              <w:t>A份额：苏银理财恒源</w:t>
            </w:r>
            <w:r>
              <w:rPr>
                <w:rFonts w:hint="eastAsia" w:ascii="楷体" w:hAnsi="楷体" w:eastAsia="楷体" w:cs="宋体"/>
                <w:spacing w:val="-2"/>
                <w:sz w:val="21"/>
                <w:szCs w:val="21"/>
                <w:lang w:eastAsia="zh-CN"/>
              </w:rPr>
              <w:t>季开放7号</w:t>
            </w:r>
            <w:r>
              <w:rPr>
                <w:rFonts w:hint="eastAsia" w:ascii="楷体" w:hAnsi="楷体" w:eastAsia="楷体" w:cs="宋体"/>
                <w:spacing w:val="-2"/>
                <w:sz w:val="21"/>
                <w:szCs w:val="21"/>
              </w:rPr>
              <w:t>A/J01891</w:t>
            </w:r>
          </w:p>
          <w:p>
            <w:pPr>
              <w:pStyle w:val="45"/>
              <w:kinsoku w:val="0"/>
              <w:overflowPunct w:val="0"/>
              <w:spacing w:before="12"/>
              <w:ind w:left="59" w:right="73" w:rightChars="3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rPr>
              <w:t>C份额：苏银理财恒源</w:t>
            </w:r>
            <w:r>
              <w:rPr>
                <w:rFonts w:hint="eastAsia" w:ascii="楷体" w:hAnsi="楷体" w:eastAsia="楷体" w:cs="宋体"/>
                <w:spacing w:val="-2"/>
                <w:sz w:val="21"/>
                <w:szCs w:val="21"/>
                <w:lang w:eastAsia="zh-CN"/>
              </w:rPr>
              <w:t>季开放7号</w:t>
            </w:r>
            <w:r>
              <w:rPr>
                <w:rFonts w:ascii="楷体" w:hAnsi="楷体" w:eastAsia="楷体" w:cs="宋体"/>
                <w:spacing w:val="-2"/>
                <w:sz w:val="21"/>
                <w:szCs w:val="21"/>
              </w:rPr>
              <w:t>C</w:t>
            </w:r>
            <w:r>
              <w:rPr>
                <w:rFonts w:hint="eastAsia" w:ascii="楷体" w:hAnsi="楷体" w:eastAsia="楷体" w:cs="宋体"/>
                <w:spacing w:val="-2"/>
                <w:sz w:val="21"/>
                <w:szCs w:val="21"/>
              </w:rPr>
              <w:t>/J01892</w:t>
            </w:r>
          </w:p>
          <w:p>
            <w:pPr>
              <w:pStyle w:val="45"/>
              <w:kinsoku w:val="0"/>
              <w:overflowPunct w:val="0"/>
              <w:spacing w:before="12"/>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D份额：苏银理财恒源</w:t>
            </w:r>
            <w:r>
              <w:rPr>
                <w:rFonts w:hint="eastAsia" w:ascii="楷体" w:hAnsi="楷体" w:eastAsia="楷体" w:cs="宋体"/>
                <w:spacing w:val="-2"/>
                <w:sz w:val="21"/>
                <w:szCs w:val="21"/>
                <w:lang w:eastAsia="zh-CN"/>
              </w:rPr>
              <w:t>季开放7号</w:t>
            </w:r>
            <w:r>
              <w:rPr>
                <w:rFonts w:ascii="楷体" w:hAnsi="楷体" w:eastAsia="楷体" w:cs="宋体"/>
                <w:spacing w:val="-2"/>
                <w:sz w:val="21"/>
                <w:szCs w:val="21"/>
              </w:rPr>
              <w:t>D</w:t>
            </w:r>
            <w:r>
              <w:rPr>
                <w:rFonts w:hint="eastAsia" w:ascii="楷体" w:hAnsi="楷体" w:eastAsia="楷体" w:cs="宋体"/>
                <w:spacing w:val="-2"/>
                <w:sz w:val="21"/>
                <w:szCs w:val="21"/>
              </w:rPr>
              <w:t>/J01893</w:t>
            </w:r>
          </w:p>
          <w:p>
            <w:pPr>
              <w:pStyle w:val="45"/>
              <w:kinsoku w:val="0"/>
              <w:overflowPunct w:val="0"/>
              <w:spacing w:before="12"/>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E</w:t>
            </w:r>
            <w:r>
              <w:rPr>
                <w:rFonts w:hint="eastAsia" w:ascii="楷体" w:hAnsi="楷体" w:eastAsia="楷体" w:cs="宋体"/>
                <w:spacing w:val="-2"/>
                <w:sz w:val="21"/>
                <w:szCs w:val="21"/>
              </w:rPr>
              <w:t>份额：苏银理财恒源</w:t>
            </w:r>
            <w:r>
              <w:rPr>
                <w:rFonts w:hint="eastAsia" w:ascii="楷体" w:hAnsi="楷体" w:eastAsia="楷体" w:cs="宋体"/>
                <w:spacing w:val="-2"/>
                <w:sz w:val="21"/>
                <w:szCs w:val="21"/>
                <w:lang w:eastAsia="zh-CN"/>
              </w:rPr>
              <w:t>季开放7号</w:t>
            </w:r>
            <w:r>
              <w:rPr>
                <w:rFonts w:hint="eastAsia" w:ascii="楷体" w:hAnsi="楷体" w:eastAsia="楷体" w:cs="宋体"/>
                <w:spacing w:val="-2"/>
                <w:sz w:val="21"/>
                <w:szCs w:val="21"/>
                <w:lang w:val="en-US" w:eastAsia="zh-CN"/>
              </w:rPr>
              <w:t>E</w:t>
            </w:r>
            <w:r>
              <w:rPr>
                <w:rFonts w:hint="eastAsia" w:ascii="楷体" w:hAnsi="楷体" w:eastAsia="楷体" w:cs="宋体"/>
                <w:spacing w:val="-2"/>
                <w:sz w:val="21"/>
                <w:szCs w:val="21"/>
              </w:rPr>
              <w:t>/J01894</w:t>
            </w:r>
          </w:p>
          <w:p>
            <w:pPr>
              <w:pStyle w:val="45"/>
              <w:kinsoku w:val="0"/>
              <w:overflowPunct w:val="0"/>
              <w:spacing w:before="12"/>
              <w:ind w:left="59" w:leftChars="0" w:right="73" w:rightChars="35"/>
              <w:jc w:val="both"/>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F份额：</w:t>
            </w:r>
            <w:r>
              <w:rPr>
                <w:rFonts w:hint="eastAsia" w:ascii="楷体" w:hAnsi="楷体" w:eastAsia="楷体" w:cs="宋体"/>
                <w:spacing w:val="-2"/>
                <w:sz w:val="21"/>
                <w:szCs w:val="21"/>
              </w:rPr>
              <w:t>苏银理财恒源</w:t>
            </w:r>
            <w:r>
              <w:rPr>
                <w:rFonts w:hint="eastAsia" w:ascii="楷体" w:hAnsi="楷体" w:eastAsia="楷体" w:cs="宋体"/>
                <w:spacing w:val="-2"/>
                <w:sz w:val="21"/>
                <w:szCs w:val="21"/>
                <w:lang w:eastAsia="zh-CN"/>
              </w:rPr>
              <w:t>季开放7号</w:t>
            </w:r>
            <w:r>
              <w:rPr>
                <w:rFonts w:hint="eastAsia" w:ascii="楷体" w:hAnsi="楷体" w:eastAsia="楷体" w:cs="宋体"/>
                <w:spacing w:val="-2"/>
                <w:sz w:val="21"/>
                <w:szCs w:val="21"/>
                <w:lang w:val="en-US" w:eastAsia="zh-CN"/>
              </w:rPr>
              <w:t>F</w:t>
            </w:r>
            <w:r>
              <w:rPr>
                <w:rFonts w:hint="eastAsia" w:ascii="楷体" w:hAnsi="楷体" w:eastAsia="楷体" w:cs="宋体"/>
                <w:spacing w:val="-2"/>
                <w:sz w:val="21"/>
                <w:szCs w:val="21"/>
              </w:rPr>
              <w:t>/J02020</w:t>
            </w:r>
          </w:p>
          <w:p>
            <w:pPr>
              <w:pStyle w:val="45"/>
              <w:kinsoku w:val="0"/>
              <w:overflowPunct w:val="0"/>
              <w:spacing w:before="12"/>
              <w:ind w:left="59" w:leftChars="0"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W份额：</w:t>
            </w:r>
            <w:r>
              <w:rPr>
                <w:rFonts w:hint="eastAsia" w:ascii="楷体" w:hAnsi="楷体" w:eastAsia="楷体" w:cs="宋体"/>
                <w:spacing w:val="-2"/>
                <w:sz w:val="21"/>
                <w:szCs w:val="21"/>
              </w:rPr>
              <w:t>苏银理财恒源</w:t>
            </w:r>
            <w:r>
              <w:rPr>
                <w:rFonts w:hint="eastAsia" w:ascii="楷体" w:hAnsi="楷体" w:eastAsia="楷体" w:cs="宋体"/>
                <w:spacing w:val="-2"/>
                <w:sz w:val="21"/>
                <w:szCs w:val="21"/>
                <w:lang w:eastAsia="zh-CN"/>
              </w:rPr>
              <w:t>季开放7号</w:t>
            </w:r>
            <w:r>
              <w:rPr>
                <w:rFonts w:hint="eastAsia" w:ascii="楷体" w:hAnsi="楷体" w:eastAsia="楷体" w:cs="宋体"/>
                <w:spacing w:val="-2"/>
                <w:sz w:val="21"/>
                <w:szCs w:val="21"/>
                <w:lang w:val="en-US" w:eastAsia="zh-CN"/>
              </w:rPr>
              <w:t>W</w:t>
            </w:r>
            <w:r>
              <w:rPr>
                <w:rFonts w:hint="eastAsia" w:ascii="楷体" w:hAnsi="楷体" w:eastAsia="楷体" w:cs="宋体"/>
                <w:spacing w:val="-2"/>
                <w:sz w:val="21"/>
                <w:szCs w:val="21"/>
              </w:rPr>
              <w:t>/J02833</w:t>
            </w:r>
          </w:p>
          <w:p>
            <w:pPr>
              <w:pStyle w:val="45"/>
              <w:kinsoku w:val="0"/>
              <w:overflowPunct w:val="0"/>
              <w:spacing w:before="12"/>
              <w:ind w:left="59" w:leftChars="0" w:right="73" w:rightChars="35"/>
              <w:jc w:val="both"/>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S份额：</w:t>
            </w:r>
            <w:r>
              <w:rPr>
                <w:rFonts w:hint="eastAsia" w:ascii="楷体" w:hAnsi="楷体" w:eastAsia="楷体" w:cs="宋体"/>
                <w:spacing w:val="-2"/>
                <w:sz w:val="21"/>
                <w:szCs w:val="21"/>
              </w:rPr>
              <w:t>苏银理财恒源</w:t>
            </w:r>
            <w:r>
              <w:rPr>
                <w:rFonts w:hint="eastAsia" w:ascii="楷体" w:hAnsi="楷体" w:eastAsia="楷体" w:cs="宋体"/>
                <w:spacing w:val="-2"/>
                <w:sz w:val="21"/>
                <w:szCs w:val="21"/>
                <w:lang w:eastAsia="zh-CN"/>
              </w:rPr>
              <w:t>季开放</w:t>
            </w:r>
            <w:r>
              <w:rPr>
                <w:rFonts w:hint="eastAsia" w:ascii="楷体" w:hAnsi="楷体" w:eastAsia="楷体" w:cs="宋体"/>
                <w:spacing w:val="-2"/>
                <w:sz w:val="21"/>
                <w:szCs w:val="21"/>
                <w:lang w:val="en-US" w:eastAsia="zh-CN"/>
              </w:rPr>
              <w:t>7</w:t>
            </w:r>
            <w:r>
              <w:rPr>
                <w:rFonts w:hint="eastAsia" w:ascii="楷体" w:hAnsi="楷体" w:eastAsia="楷体" w:cs="宋体"/>
                <w:spacing w:val="-2"/>
                <w:sz w:val="21"/>
                <w:szCs w:val="21"/>
                <w:lang w:eastAsia="zh-CN"/>
              </w:rPr>
              <w:t>号</w:t>
            </w:r>
            <w:r>
              <w:rPr>
                <w:rFonts w:hint="eastAsia" w:ascii="楷体" w:hAnsi="楷体" w:eastAsia="楷体" w:cs="宋体"/>
                <w:spacing w:val="-2"/>
                <w:sz w:val="21"/>
                <w:szCs w:val="21"/>
                <w:lang w:val="en-US" w:eastAsia="zh-CN"/>
              </w:rPr>
              <w:t>S</w:t>
            </w:r>
            <w:r>
              <w:rPr>
                <w:rFonts w:hint="eastAsia" w:ascii="楷体" w:hAnsi="楷体" w:eastAsia="楷体" w:cs="宋体"/>
                <w:spacing w:val="-2"/>
                <w:sz w:val="21"/>
                <w:szCs w:val="21"/>
              </w:rPr>
              <w:t>/J036</w:t>
            </w:r>
            <w:r>
              <w:rPr>
                <w:rFonts w:hint="eastAsia" w:ascii="楷体" w:hAnsi="楷体" w:eastAsia="楷体" w:cs="宋体"/>
                <w:spacing w:val="-2"/>
                <w:sz w:val="21"/>
                <w:szCs w:val="21"/>
                <w:lang w:val="en-US" w:eastAsia="zh-CN"/>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4"/>
              <w:ind w:left="55"/>
              <w:jc w:val="both"/>
              <w:rPr>
                <w:rFonts w:ascii="楷体" w:hAnsi="楷体" w:eastAsia="楷体" w:cs="宋体"/>
                <w:b/>
                <w:spacing w:val="-2"/>
                <w:sz w:val="21"/>
                <w:szCs w:val="21"/>
              </w:rPr>
            </w:pPr>
            <w:r>
              <w:rPr>
                <w:rFonts w:hint="eastAsia" w:ascii="楷体" w:hAnsi="楷体" w:eastAsia="楷体" w:cs="宋体"/>
                <w:b/>
                <w:spacing w:val="-2"/>
                <w:sz w:val="21"/>
                <w:szCs w:val="21"/>
              </w:rPr>
              <w:t>产品管理人</w:t>
            </w:r>
          </w:p>
        </w:tc>
        <w:tc>
          <w:tcPr>
            <w:tcW w:w="6614" w:type="dxa"/>
            <w:noWrap w:val="0"/>
            <w:vAlign w:val="center"/>
          </w:tcPr>
          <w:p>
            <w:pPr>
              <w:pStyle w:val="45"/>
              <w:kinsoku w:val="0"/>
              <w:overflowPunct w:val="0"/>
              <w:spacing w:before="12"/>
              <w:ind w:left="59" w:right="73" w:rightChars="35"/>
              <w:jc w:val="both"/>
              <w:rPr>
                <w:rFonts w:ascii="楷体" w:hAnsi="楷体" w:eastAsia="楷体" w:cs="宋体"/>
                <w:spacing w:val="-2"/>
                <w:sz w:val="21"/>
                <w:szCs w:val="21"/>
              </w:rPr>
            </w:pPr>
            <w:r>
              <w:rPr>
                <w:rFonts w:hint="eastAsia" w:ascii="楷体" w:hAnsi="楷体" w:eastAsia="楷体" w:cs="宋体"/>
                <w:spacing w:val="-2"/>
                <w:sz w:val="21"/>
                <w:szCs w:val="21"/>
              </w:rPr>
              <w:t>苏银理财有限责任公司，详见下文“二、产品管理人”。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3"/>
              <w:ind w:left="55"/>
              <w:jc w:val="both"/>
              <w:rPr>
                <w:rFonts w:ascii="楷体" w:hAnsi="楷体" w:eastAsia="楷体" w:cs="宋体"/>
                <w:b/>
                <w:spacing w:val="-2"/>
                <w:sz w:val="21"/>
                <w:szCs w:val="21"/>
              </w:rPr>
            </w:pPr>
            <w:r>
              <w:rPr>
                <w:rFonts w:hint="eastAsia" w:ascii="楷体" w:hAnsi="楷体" w:eastAsia="楷体" w:cs="宋体"/>
                <w:b/>
                <w:spacing w:val="-2"/>
                <w:sz w:val="21"/>
                <w:szCs w:val="21"/>
              </w:rPr>
              <w:t>产品托管人</w:t>
            </w:r>
          </w:p>
        </w:tc>
        <w:tc>
          <w:tcPr>
            <w:tcW w:w="6614" w:type="dxa"/>
            <w:noWrap w:val="0"/>
            <w:vAlign w:val="center"/>
          </w:tcPr>
          <w:p>
            <w:pPr>
              <w:pStyle w:val="45"/>
              <w:kinsoku w:val="0"/>
              <w:overflowPunct w:val="0"/>
              <w:spacing w:before="12"/>
              <w:ind w:left="59" w:right="73" w:rightChars="35"/>
              <w:jc w:val="both"/>
              <w:rPr>
                <w:rFonts w:ascii="楷体" w:hAnsi="楷体" w:eastAsia="楷体" w:cs="宋体"/>
                <w:spacing w:val="-2"/>
                <w:sz w:val="21"/>
                <w:szCs w:val="21"/>
              </w:rPr>
            </w:pPr>
            <w:r>
              <w:rPr>
                <w:rFonts w:hint="eastAsia" w:ascii="楷体" w:hAnsi="楷体" w:eastAsia="楷体" w:cs="宋体"/>
                <w:spacing w:val="-2"/>
                <w:sz w:val="21"/>
                <w:szCs w:val="21"/>
              </w:rPr>
              <w:t>江苏银行股份有限公司，详见下文“十四、产品托管人”。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3"/>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销售机构</w:t>
            </w:r>
          </w:p>
        </w:tc>
        <w:tc>
          <w:tcPr>
            <w:tcW w:w="6614" w:type="dxa"/>
            <w:noWrap w:val="0"/>
            <w:vAlign w:val="center"/>
          </w:tcPr>
          <w:p>
            <w:pPr>
              <w:pStyle w:val="45"/>
              <w:kinsoku w:val="0"/>
              <w:overflowPunct w:val="0"/>
              <w:spacing w:before="13"/>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详见下文“三、销售机构”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3"/>
              <w:ind w:left="55"/>
              <w:jc w:val="both"/>
              <w:rPr>
                <w:rFonts w:ascii="楷体" w:hAnsi="楷体" w:eastAsia="楷体" w:cs="宋体"/>
                <w:b/>
                <w:spacing w:val="-2"/>
                <w:sz w:val="21"/>
                <w:szCs w:val="21"/>
              </w:rPr>
            </w:pPr>
            <w:r>
              <w:rPr>
                <w:rFonts w:hint="eastAsia" w:ascii="楷体" w:hAnsi="楷体" w:eastAsia="楷体" w:cs="宋体"/>
                <w:b/>
                <w:spacing w:val="-2"/>
                <w:sz w:val="21"/>
                <w:szCs w:val="21"/>
              </w:rPr>
              <w:t>产品内部风险评级</w:t>
            </w:r>
          </w:p>
        </w:tc>
        <w:tc>
          <w:tcPr>
            <w:tcW w:w="6614" w:type="dxa"/>
            <w:noWrap w:val="0"/>
            <w:vAlign w:val="center"/>
          </w:tcPr>
          <w:p>
            <w:pPr>
              <w:kinsoku w:val="0"/>
              <w:overflowPunct w:val="0"/>
              <w:autoSpaceDE w:val="0"/>
              <w:autoSpaceDN w:val="0"/>
              <w:adjustRightInd w:val="0"/>
              <w:spacing w:before="13"/>
              <w:ind w:left="59" w:right="73" w:rightChars="35"/>
              <w:rPr>
                <w:rFonts w:hint="eastAsia" w:ascii="楷体" w:hAnsi="楷体" w:eastAsia="楷体" w:cs="宋体"/>
                <w:b/>
                <w:spacing w:val="-2"/>
                <w:kern w:val="0"/>
                <w:szCs w:val="21"/>
                <w:u w:val="single"/>
              </w:rPr>
            </w:pPr>
            <w:r>
              <w:rPr>
                <w:rFonts w:hint="eastAsia" w:ascii="楷体" w:hAnsi="楷体" w:eastAsia="楷体" w:cs="宋体"/>
                <w:b/>
                <w:spacing w:val="-2"/>
                <w:kern w:val="0"/>
                <w:szCs w:val="21"/>
                <w:u w:val="single"/>
              </w:rPr>
              <w:t>1、★★二级，</w:t>
            </w:r>
            <w:r>
              <w:rPr>
                <w:rFonts w:hint="eastAsia" w:ascii="楷体" w:hAnsi="楷体" w:eastAsia="楷体" w:cs="宋体"/>
                <w:spacing w:val="-2"/>
                <w:kern w:val="0"/>
                <w:szCs w:val="21"/>
              </w:rPr>
              <w:t>本评级为苏银理财有限责任公司内部评级，由苏银理财根据理财产品的投资组合、同类产品过往业绩和风险状况等因素，对理财产品进行评级，仅供客户参考。</w:t>
            </w:r>
          </w:p>
          <w:p>
            <w:pPr>
              <w:kinsoku w:val="0"/>
              <w:overflowPunct w:val="0"/>
              <w:autoSpaceDE w:val="0"/>
              <w:autoSpaceDN w:val="0"/>
              <w:adjustRightInd w:val="0"/>
              <w:spacing w:before="13"/>
              <w:ind w:left="59" w:right="73" w:rightChars="35"/>
              <w:rPr>
                <w:rFonts w:hint="eastAsia" w:ascii="楷体" w:hAnsi="楷体" w:eastAsia="楷体" w:cs="宋体"/>
                <w:spacing w:val="-2"/>
                <w:kern w:val="0"/>
                <w:szCs w:val="21"/>
              </w:rPr>
            </w:pPr>
            <w:r>
              <w:rPr>
                <w:rFonts w:hint="eastAsia" w:ascii="楷体" w:hAnsi="楷体" w:eastAsia="楷体" w:cs="宋体"/>
                <w:b/>
                <w:spacing w:val="-2"/>
                <w:kern w:val="0"/>
                <w:szCs w:val="21"/>
              </w:rPr>
              <w:t>2、</w:t>
            </w:r>
            <w:r>
              <w:rPr>
                <w:rFonts w:hint="eastAsia" w:ascii="楷体" w:hAnsi="楷体" w:eastAsia="楷体" w:cs="宋体"/>
                <w:spacing w:val="-2"/>
                <w:sz w:val="21"/>
                <w:szCs w:val="21"/>
                <w:highlight w:val="none"/>
                <w:lang w:val="en-US" w:eastAsia="zh-CN"/>
              </w:rPr>
              <w:t>如</w:t>
            </w:r>
            <w:r>
              <w:rPr>
                <w:rFonts w:hint="eastAsia" w:ascii="楷体" w:hAnsi="楷体" w:eastAsia="楷体" w:cs="宋体"/>
                <w:spacing w:val="-2"/>
                <w:sz w:val="21"/>
                <w:szCs w:val="21"/>
                <w:highlight w:val="none"/>
              </w:rPr>
              <w:t>本产品</w:t>
            </w:r>
            <w:r>
              <w:rPr>
                <w:rFonts w:hint="eastAsia" w:ascii="楷体" w:hAnsi="楷体" w:eastAsia="楷体" w:cs="宋体"/>
                <w:spacing w:val="-2"/>
                <w:sz w:val="21"/>
                <w:szCs w:val="21"/>
                <w:highlight w:val="none"/>
                <w:lang w:val="en-US" w:eastAsia="zh-CN"/>
              </w:rPr>
              <w:t>通过</w:t>
            </w:r>
            <w:r>
              <w:rPr>
                <w:rFonts w:hint="eastAsia" w:ascii="楷体" w:hAnsi="楷体" w:eastAsia="楷体" w:cs="宋体"/>
                <w:spacing w:val="-2"/>
                <w:sz w:val="21"/>
                <w:szCs w:val="21"/>
                <w:highlight w:val="none"/>
              </w:rPr>
              <w:t>代理销售机构渠道</w:t>
            </w:r>
            <w:r>
              <w:rPr>
                <w:rFonts w:hint="eastAsia" w:ascii="楷体" w:hAnsi="楷体" w:eastAsia="楷体" w:cs="宋体"/>
                <w:spacing w:val="-2"/>
                <w:sz w:val="21"/>
                <w:szCs w:val="21"/>
                <w:highlight w:val="none"/>
                <w:lang w:val="en-US" w:eastAsia="zh-CN"/>
              </w:rPr>
              <w:t>销售，</w:t>
            </w:r>
            <w:r>
              <w:rPr>
                <w:rFonts w:hint="eastAsia" w:ascii="楷体" w:hAnsi="楷体" w:eastAsia="楷体" w:cs="宋体"/>
                <w:spacing w:val="-2"/>
                <w:kern w:val="0"/>
                <w:szCs w:val="21"/>
              </w:rPr>
              <w:t>代理销售机构应当根据本机构的方式和方法，依据理财产品的投资组合、同类产品过往业绩和风险状况等因素，独立、审慎地对代理销售的理财产品进行销售评级，并向苏银理财及时、准确提供本机构销售评级结果等信息。</w:t>
            </w:r>
            <w:r>
              <w:rPr>
                <w:rFonts w:ascii="楷体" w:hAnsi="楷体" w:eastAsia="楷体" w:cs="宋体"/>
                <w:spacing w:val="-2"/>
                <w:kern w:val="0"/>
                <w:szCs w:val="21"/>
              </w:rPr>
              <w:t>销售评级与</w:t>
            </w:r>
            <w:r>
              <w:rPr>
                <w:rFonts w:hint="eastAsia" w:ascii="楷体" w:hAnsi="楷体" w:eastAsia="楷体" w:cs="宋体"/>
                <w:spacing w:val="-2"/>
                <w:kern w:val="0"/>
                <w:szCs w:val="21"/>
              </w:rPr>
              <w:t>苏银理财</w:t>
            </w:r>
            <w:r>
              <w:rPr>
                <w:rFonts w:ascii="楷体" w:hAnsi="楷体" w:eastAsia="楷体" w:cs="宋体"/>
                <w:spacing w:val="-2"/>
                <w:kern w:val="0"/>
                <w:szCs w:val="21"/>
              </w:rPr>
              <w:t>产品评级结果不一致的，代理销售机构应当采用对应较高风险等级的评级结果并予以披露</w:t>
            </w:r>
            <w:r>
              <w:rPr>
                <w:rFonts w:hint="eastAsia" w:ascii="楷体" w:hAnsi="楷体" w:eastAsia="楷体" w:cs="宋体"/>
                <w:spacing w:val="-2"/>
                <w:kern w:val="0"/>
                <w:szCs w:val="21"/>
              </w:rPr>
              <w:t>。</w:t>
            </w:r>
          </w:p>
          <w:p>
            <w:pPr>
              <w:pStyle w:val="45"/>
              <w:kinsoku w:val="0"/>
              <w:overflowPunct w:val="0"/>
              <w:spacing w:before="13"/>
              <w:ind w:left="59" w:right="73" w:rightChars="35"/>
              <w:jc w:val="both"/>
              <w:rPr>
                <w:rFonts w:ascii="楷体" w:hAnsi="楷体" w:eastAsia="楷体" w:cs="宋体"/>
                <w:spacing w:val="-2"/>
                <w:sz w:val="21"/>
                <w:szCs w:val="21"/>
              </w:rPr>
            </w:pPr>
            <w:r>
              <w:rPr>
                <w:rFonts w:hint="eastAsia" w:ascii="楷体" w:hAnsi="楷体" w:eastAsia="楷体" w:cs="宋体"/>
                <w:b/>
                <w:spacing w:val="-2"/>
                <w:kern w:val="2"/>
                <w:sz w:val="21"/>
                <w:szCs w:val="21"/>
                <w:u w:val="single"/>
              </w:rPr>
              <w:t>3</w:t>
            </w:r>
            <w:r>
              <w:rPr>
                <w:rFonts w:hint="eastAsia" w:ascii="楷体" w:hAnsi="楷体" w:eastAsia="楷体" w:cs="宋体"/>
                <w:b/>
                <w:spacing w:val="-2"/>
                <w:kern w:val="2"/>
                <w:sz w:val="21"/>
                <w:szCs w:val="21"/>
                <w:highlight w:val="none"/>
                <w:u w:val="single"/>
              </w:rPr>
              <w:t>、</w:t>
            </w:r>
            <w:r>
              <w:rPr>
                <w:rFonts w:hint="eastAsia" w:ascii="楷体" w:hAnsi="楷体" w:eastAsia="楷体" w:cs="宋体"/>
                <w:b/>
                <w:spacing w:val="-2"/>
                <w:sz w:val="21"/>
                <w:szCs w:val="21"/>
                <w:highlight w:val="none"/>
                <w:u w:val="single"/>
                <w:lang w:val="en-US" w:eastAsia="zh-CN"/>
              </w:rPr>
              <w:t>如本</w:t>
            </w:r>
            <w:r>
              <w:rPr>
                <w:rFonts w:hint="eastAsia" w:ascii="楷体" w:hAnsi="楷体" w:eastAsia="楷体" w:cs="宋体"/>
                <w:b/>
                <w:spacing w:val="-2"/>
                <w:sz w:val="21"/>
                <w:szCs w:val="21"/>
                <w:highlight w:val="none"/>
                <w:u w:val="single"/>
              </w:rPr>
              <w:t>产品</w:t>
            </w:r>
            <w:r>
              <w:rPr>
                <w:rFonts w:ascii="楷体" w:hAnsi="楷体" w:eastAsia="楷体" w:cs="宋体"/>
                <w:b/>
                <w:spacing w:val="-2"/>
                <w:sz w:val="21"/>
                <w:szCs w:val="21"/>
                <w:highlight w:val="none"/>
                <w:u w:val="single"/>
              </w:rPr>
              <w:t>通过代理销售机构渠道销售，理财产品评级</w:t>
            </w:r>
            <w:r>
              <w:rPr>
                <w:rFonts w:hint="eastAsia" w:ascii="楷体" w:hAnsi="楷体" w:eastAsia="楷体" w:cs="宋体"/>
                <w:b/>
                <w:spacing w:val="-2"/>
                <w:sz w:val="21"/>
                <w:szCs w:val="21"/>
                <w:highlight w:val="none"/>
                <w:u w:val="single"/>
              </w:rPr>
              <w:t>以</w:t>
            </w:r>
            <w:r>
              <w:rPr>
                <w:rFonts w:ascii="楷体" w:hAnsi="楷体" w:eastAsia="楷体" w:cs="宋体"/>
                <w:b/>
                <w:spacing w:val="-2"/>
                <w:sz w:val="21"/>
                <w:szCs w:val="21"/>
                <w:highlight w:val="none"/>
                <w:u w:val="single"/>
              </w:rPr>
              <w:t>代理销售机构最终披露的评级结果为准</w:t>
            </w:r>
            <w:r>
              <w:rPr>
                <w:rFonts w:hint="eastAsia" w:ascii="楷体" w:hAnsi="楷体" w:eastAsia="楷体" w:cs="宋体"/>
                <w:b/>
                <w:spacing w:val="-2"/>
                <w:sz w:val="21"/>
                <w:szCs w:val="21"/>
                <w:highlight w:val="none"/>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2"/>
              <w:ind w:left="55"/>
              <w:jc w:val="both"/>
              <w:rPr>
                <w:rFonts w:ascii="楷体" w:hAnsi="楷体" w:eastAsia="楷体" w:cs="宋体"/>
                <w:b/>
                <w:spacing w:val="-2"/>
                <w:sz w:val="21"/>
                <w:szCs w:val="21"/>
              </w:rPr>
            </w:pPr>
            <w:r>
              <w:rPr>
                <w:rFonts w:hint="eastAsia" w:ascii="楷体" w:hAnsi="楷体" w:eastAsia="楷体" w:cs="宋体"/>
                <w:b/>
                <w:spacing w:val="-2"/>
                <w:sz w:val="21"/>
                <w:szCs w:val="21"/>
              </w:rPr>
              <w:t>收益类型</w:t>
            </w:r>
          </w:p>
        </w:tc>
        <w:tc>
          <w:tcPr>
            <w:tcW w:w="6614" w:type="dxa"/>
            <w:noWrap w:val="0"/>
            <w:vAlign w:val="center"/>
          </w:tcPr>
          <w:p>
            <w:pPr>
              <w:pStyle w:val="45"/>
              <w:kinsoku w:val="0"/>
              <w:overflowPunct w:val="0"/>
              <w:spacing w:before="12"/>
              <w:ind w:left="59" w:right="73" w:rightChars="35"/>
              <w:jc w:val="both"/>
              <w:rPr>
                <w:rFonts w:ascii="楷体" w:hAnsi="楷体" w:eastAsia="楷体" w:cs="宋体"/>
                <w:spacing w:val="-2"/>
                <w:sz w:val="21"/>
                <w:szCs w:val="21"/>
              </w:rPr>
            </w:pPr>
            <w:r>
              <w:rPr>
                <w:rFonts w:hint="eastAsia" w:ascii="楷体" w:hAnsi="楷体" w:eastAsia="楷体" w:cs="宋体"/>
                <w:spacing w:val="-2"/>
                <w:sz w:val="21"/>
                <w:szCs w:val="21"/>
              </w:rPr>
              <w:t>净值型（非保本浮动收益）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3"/>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产品类型</w:t>
            </w:r>
          </w:p>
        </w:tc>
        <w:tc>
          <w:tcPr>
            <w:tcW w:w="6614" w:type="dxa"/>
            <w:noWrap w:val="0"/>
            <w:vAlign w:val="center"/>
          </w:tcPr>
          <w:p>
            <w:pPr>
              <w:pStyle w:val="45"/>
              <w:kinsoku w:val="0"/>
              <w:overflowPunct w:val="0"/>
              <w:spacing w:before="12"/>
              <w:ind w:left="59" w:right="73" w:rightChars="35"/>
              <w:jc w:val="both"/>
              <w:rPr>
                <w:rFonts w:hint="eastAsia" w:ascii="楷体" w:hAnsi="楷体" w:eastAsia="楷体" w:cs="宋体"/>
                <w:b/>
                <w:spacing w:val="-2"/>
                <w:sz w:val="21"/>
                <w:szCs w:val="21"/>
                <w:u w:val="single"/>
              </w:rPr>
            </w:pPr>
            <w:r>
              <w:rPr>
                <w:rFonts w:hint="eastAsia" w:ascii="楷体" w:hAnsi="楷体" w:eastAsia="楷体" w:cs="宋体"/>
                <w:b/>
                <w:spacing w:val="-2"/>
                <w:sz w:val="21"/>
                <w:szCs w:val="21"/>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3"/>
              <w:ind w:left="55"/>
              <w:jc w:val="both"/>
              <w:rPr>
                <w:rFonts w:ascii="楷体" w:hAnsi="楷体" w:eastAsia="楷体" w:cs="宋体"/>
                <w:b/>
                <w:spacing w:val="-2"/>
                <w:sz w:val="21"/>
                <w:szCs w:val="21"/>
              </w:rPr>
            </w:pPr>
            <w:r>
              <w:rPr>
                <w:rFonts w:hint="eastAsia" w:ascii="楷体" w:hAnsi="楷体" w:eastAsia="楷体" w:cs="宋体"/>
                <w:b/>
                <w:spacing w:val="-2"/>
                <w:sz w:val="21"/>
                <w:szCs w:val="21"/>
              </w:rPr>
              <w:t>销售对象</w:t>
            </w:r>
          </w:p>
        </w:tc>
        <w:tc>
          <w:tcPr>
            <w:tcW w:w="6614" w:type="dxa"/>
            <w:noWrap w:val="0"/>
            <w:vAlign w:val="center"/>
          </w:tcPr>
          <w:p>
            <w:pPr>
              <w:pStyle w:val="45"/>
              <w:kinsoku w:val="0"/>
              <w:overflowPunct w:val="0"/>
              <w:spacing w:before="12"/>
              <w:ind w:left="59" w:right="88" w:rightChars="42"/>
              <w:jc w:val="both"/>
              <w:rPr>
                <w:rFonts w:hint="eastAsia" w:ascii="楷体" w:hAnsi="楷体" w:eastAsia="楷体" w:cs="宋体"/>
                <w:spacing w:val="-2"/>
                <w:sz w:val="21"/>
                <w:szCs w:val="21"/>
              </w:rPr>
            </w:pPr>
            <w:r>
              <w:rPr>
                <w:rFonts w:hint="eastAsia" w:ascii="楷体" w:hAnsi="楷体" w:eastAsia="楷体" w:cs="宋体"/>
                <w:spacing w:val="-2"/>
                <w:sz w:val="21"/>
                <w:szCs w:val="21"/>
              </w:rPr>
              <w:t>A份额面向个人和机构投资者销售。</w:t>
            </w:r>
          </w:p>
          <w:p>
            <w:pPr>
              <w:pStyle w:val="45"/>
              <w:kinsoku w:val="0"/>
              <w:overflowPunct w:val="0"/>
              <w:spacing w:before="12"/>
              <w:ind w:left="59" w:right="88" w:rightChars="42"/>
              <w:jc w:val="both"/>
              <w:rPr>
                <w:rFonts w:hint="eastAsia" w:ascii="楷体" w:hAnsi="楷体" w:eastAsia="楷体" w:cs="宋体"/>
                <w:spacing w:val="-2"/>
                <w:sz w:val="21"/>
                <w:szCs w:val="21"/>
              </w:rPr>
            </w:pPr>
            <w:r>
              <w:rPr>
                <w:rFonts w:ascii="楷体" w:hAnsi="楷体" w:eastAsia="楷体" w:cs="宋体"/>
                <w:spacing w:val="-2"/>
                <w:sz w:val="21"/>
                <w:szCs w:val="21"/>
                <w:highlight w:val="none"/>
              </w:rPr>
              <w:t>C</w:t>
            </w:r>
            <w:r>
              <w:rPr>
                <w:rFonts w:hint="eastAsia" w:ascii="楷体" w:hAnsi="楷体" w:eastAsia="楷体" w:cs="宋体"/>
                <w:spacing w:val="-2"/>
                <w:sz w:val="21"/>
                <w:szCs w:val="21"/>
                <w:highlight w:val="none"/>
              </w:rPr>
              <w:t>份额面向</w:t>
            </w:r>
            <w:r>
              <w:rPr>
                <w:rFonts w:hint="eastAsia" w:ascii="楷体" w:hAnsi="楷体" w:eastAsia="楷体" w:cs="宋体"/>
                <w:spacing w:val="-2"/>
                <w:sz w:val="21"/>
                <w:szCs w:val="21"/>
              </w:rPr>
              <w:t>个人和机构投资者销售</w:t>
            </w:r>
            <w:r>
              <w:rPr>
                <w:rFonts w:hint="eastAsia" w:ascii="楷体" w:hAnsi="楷体" w:eastAsia="楷体" w:cs="宋体"/>
                <w:spacing w:val="-2"/>
                <w:sz w:val="21"/>
                <w:szCs w:val="21"/>
                <w:highlight w:val="none"/>
              </w:rPr>
              <w:t>（</w:t>
            </w:r>
            <w:r>
              <w:rPr>
                <w:rFonts w:hint="eastAsia" w:ascii="楷体" w:hAnsi="楷体" w:eastAsia="楷体" w:cs="宋体"/>
                <w:spacing w:val="-2"/>
                <w:sz w:val="21"/>
                <w:szCs w:val="21"/>
                <w:highlight w:val="none"/>
                <w:lang w:val="en-US" w:eastAsia="zh-CN"/>
              </w:rPr>
              <w:t>销售机构江苏银行个人投资者仅限新资金客户及新客户，新资金的达标条件为“客户前一日资产时点余额”较“前一月末资产月日均余额”的新增额大于5万元；新客户是指首次购买苏银理财理财产品的客户</w:t>
            </w:r>
            <w:r>
              <w:rPr>
                <w:rFonts w:hint="eastAsia" w:ascii="楷体" w:hAnsi="楷体" w:eastAsia="楷体" w:cs="宋体"/>
                <w:spacing w:val="-2"/>
                <w:sz w:val="21"/>
                <w:szCs w:val="21"/>
                <w:highlight w:val="none"/>
              </w:rPr>
              <w:t>）。</w:t>
            </w:r>
          </w:p>
          <w:p>
            <w:pPr>
              <w:pStyle w:val="45"/>
              <w:kinsoku w:val="0"/>
              <w:overflowPunct w:val="0"/>
              <w:spacing w:before="12"/>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D份额面向</w:t>
            </w:r>
            <w:r>
              <w:rPr>
                <w:rFonts w:hint="eastAsia" w:ascii="楷体" w:hAnsi="楷体" w:eastAsia="楷体" w:cs="宋体"/>
                <w:spacing w:val="-2"/>
                <w:sz w:val="21"/>
                <w:szCs w:val="21"/>
                <w:lang w:val="en-US" w:eastAsia="zh-CN"/>
              </w:rPr>
              <w:t>个人和机构投资者销售</w:t>
            </w:r>
            <w:r>
              <w:rPr>
                <w:rFonts w:hint="eastAsia" w:ascii="楷体" w:hAnsi="楷体" w:eastAsia="楷体" w:cs="宋体"/>
                <w:spacing w:val="-2"/>
                <w:sz w:val="21"/>
                <w:szCs w:val="21"/>
              </w:rPr>
              <w:t>（销售机构江苏银行个人投资者仅限财富客户购买，江苏银行财富客户指在江苏银行日均资产大于等于200万元的个人客户；机构投资者具体以销售机构设置为准）。</w:t>
            </w:r>
          </w:p>
          <w:p>
            <w:pPr>
              <w:pStyle w:val="45"/>
              <w:kinsoku w:val="0"/>
              <w:overflowPunct w:val="0"/>
              <w:spacing w:before="12"/>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E</w:t>
            </w:r>
            <w:r>
              <w:rPr>
                <w:rFonts w:hint="eastAsia" w:ascii="楷体" w:hAnsi="楷体" w:eastAsia="楷体" w:cs="宋体"/>
                <w:spacing w:val="-2"/>
                <w:sz w:val="21"/>
                <w:szCs w:val="21"/>
              </w:rPr>
              <w:t>份额面向</w:t>
            </w:r>
            <w:r>
              <w:rPr>
                <w:rFonts w:hint="eastAsia" w:ascii="楷体" w:hAnsi="楷体" w:eastAsia="楷体" w:cs="宋体"/>
                <w:spacing w:val="-2"/>
                <w:sz w:val="21"/>
                <w:szCs w:val="21"/>
                <w:highlight w:val="none"/>
              </w:rPr>
              <w:t>个人</w:t>
            </w:r>
            <w:r>
              <w:rPr>
                <w:rFonts w:hint="eastAsia" w:ascii="楷体" w:hAnsi="楷体" w:eastAsia="楷体" w:cs="宋体"/>
                <w:spacing w:val="-2"/>
                <w:sz w:val="21"/>
                <w:szCs w:val="21"/>
                <w:highlight w:val="none"/>
                <w:lang w:val="en-US" w:eastAsia="zh-CN"/>
              </w:rPr>
              <w:t>和机构</w:t>
            </w:r>
            <w:r>
              <w:rPr>
                <w:rFonts w:hint="eastAsia" w:ascii="楷体" w:hAnsi="楷体" w:eastAsia="楷体" w:cs="宋体"/>
                <w:spacing w:val="-2"/>
                <w:sz w:val="21"/>
                <w:szCs w:val="21"/>
                <w:highlight w:val="none"/>
              </w:rPr>
              <w:t>投资者销售</w:t>
            </w:r>
            <w:r>
              <w:rPr>
                <w:rFonts w:hint="eastAsia" w:ascii="楷体" w:hAnsi="楷体" w:eastAsia="楷体" w:cs="宋体"/>
                <w:spacing w:val="-2"/>
                <w:sz w:val="21"/>
                <w:szCs w:val="21"/>
              </w:rPr>
              <w:t>（销售机构江苏银行</w:t>
            </w:r>
            <w:r>
              <w:rPr>
                <w:rFonts w:hint="eastAsia" w:ascii="楷体" w:hAnsi="楷体" w:eastAsia="楷体" w:cs="宋体"/>
                <w:spacing w:val="-2"/>
                <w:sz w:val="21"/>
                <w:szCs w:val="21"/>
                <w:highlight w:val="none"/>
                <w:lang w:val="en-US" w:eastAsia="zh-CN"/>
              </w:rPr>
              <w:t>个人投资者</w:t>
            </w:r>
            <w:r>
              <w:rPr>
                <w:rFonts w:hint="eastAsia" w:ascii="楷体" w:hAnsi="楷体" w:eastAsia="楷体" w:cs="宋体"/>
                <w:spacing w:val="-2"/>
                <w:sz w:val="21"/>
                <w:szCs w:val="21"/>
              </w:rPr>
              <w:t>仅限私行客户购买</w:t>
            </w:r>
            <w:r>
              <w:rPr>
                <w:rFonts w:hint="eastAsia" w:ascii="楷体" w:hAnsi="楷体" w:eastAsia="楷体" w:cs="宋体"/>
                <w:spacing w:val="-2"/>
                <w:sz w:val="21"/>
                <w:szCs w:val="21"/>
                <w:highlight w:val="none"/>
                <w:lang w:val="en-US" w:eastAsia="zh-CN"/>
              </w:rPr>
              <w:t>。</w:t>
            </w:r>
            <w:r>
              <w:rPr>
                <w:rFonts w:hint="eastAsia" w:ascii="楷体" w:hAnsi="楷体" w:eastAsia="楷体" w:cs="宋体"/>
                <w:spacing w:val="-2"/>
                <w:sz w:val="21"/>
                <w:szCs w:val="21"/>
              </w:rPr>
              <w:t>江苏银行私行客户指在江苏银行日均资产大于等于600万元的个人客户）。</w:t>
            </w:r>
          </w:p>
          <w:p>
            <w:pPr>
              <w:pStyle w:val="45"/>
              <w:kinsoku w:val="0"/>
              <w:overflowPunct w:val="0"/>
              <w:spacing w:before="12"/>
              <w:ind w:left="59" w:right="73" w:rightChars="35"/>
              <w:jc w:val="both"/>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F份额面向个人和机构投资者销售。</w:t>
            </w:r>
          </w:p>
          <w:p>
            <w:pPr>
              <w:pStyle w:val="45"/>
              <w:kinsoku w:val="0"/>
              <w:overflowPunct w:val="0"/>
              <w:spacing w:before="12"/>
              <w:ind w:left="59" w:right="73" w:rightChars="35"/>
              <w:jc w:val="both"/>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W份额面向个人和机构投资者销售。</w:t>
            </w:r>
          </w:p>
          <w:p>
            <w:pPr>
              <w:pStyle w:val="45"/>
              <w:kinsoku w:val="0"/>
              <w:overflowPunct w:val="0"/>
              <w:spacing w:before="12"/>
              <w:ind w:left="59" w:right="73" w:rightChars="3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S份额面向个人和机构投资者销售</w:t>
            </w:r>
            <w:r>
              <w:rPr>
                <w:rFonts w:hint="eastAsia" w:ascii="楷体" w:hAnsi="楷体" w:eastAsia="楷体" w:cs="宋体"/>
                <w:spacing w:val="-2"/>
                <w:sz w:val="21"/>
                <w:szCs w:val="21"/>
              </w:rPr>
              <w:t>（销售机构</w:t>
            </w:r>
            <w:r>
              <w:rPr>
                <w:rFonts w:hint="eastAsia" w:ascii="楷体" w:hAnsi="楷体" w:eastAsia="楷体" w:cs="宋体"/>
                <w:spacing w:val="-2"/>
                <w:sz w:val="21"/>
                <w:szCs w:val="21"/>
                <w:lang w:val="en-US" w:eastAsia="zh-CN"/>
              </w:rPr>
              <w:t>深圳农商</w:t>
            </w:r>
            <w:r>
              <w:rPr>
                <w:rFonts w:hint="eastAsia" w:ascii="楷体" w:hAnsi="楷体" w:eastAsia="楷体" w:cs="宋体"/>
                <w:spacing w:val="-2"/>
                <w:sz w:val="21"/>
                <w:szCs w:val="21"/>
              </w:rPr>
              <w:t>行仅限社区及私行专属客户购买，</w:t>
            </w:r>
            <w:r>
              <w:rPr>
                <w:rFonts w:hint="eastAsia" w:ascii="楷体" w:hAnsi="楷体" w:eastAsia="楷体" w:cs="宋体"/>
                <w:spacing w:val="-2"/>
                <w:sz w:val="21"/>
                <w:szCs w:val="21"/>
                <w:lang w:val="en-US" w:eastAsia="zh-CN"/>
              </w:rPr>
              <w:t>具体</w:t>
            </w:r>
            <w:r>
              <w:rPr>
                <w:rFonts w:hint="eastAsia" w:ascii="楷体" w:hAnsi="楷体" w:eastAsia="楷体" w:cs="宋体"/>
                <w:spacing w:val="-2"/>
                <w:sz w:val="21"/>
                <w:szCs w:val="21"/>
                <w:highlight w:val="none"/>
                <w:lang w:val="en-US" w:eastAsia="zh-CN"/>
              </w:rPr>
              <w:t>以销售机构设置为准</w:t>
            </w:r>
            <w:r>
              <w:rPr>
                <w:rFonts w:hint="eastAsia" w:ascii="楷体" w:hAnsi="楷体" w:eastAsia="楷体" w:cs="宋体"/>
                <w:spacing w:val="-2"/>
                <w:sz w:val="21"/>
                <w:szCs w:val="21"/>
              </w:rPr>
              <w:t>）</w:t>
            </w:r>
            <w:r>
              <w:rPr>
                <w:rFonts w:hint="eastAsia" w:ascii="楷体" w:hAnsi="楷体" w:eastAsia="楷体" w:cs="宋体"/>
                <w:spacing w:val="-2"/>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4"/>
              <w:ind w:left="55"/>
              <w:jc w:val="both"/>
              <w:rPr>
                <w:rFonts w:ascii="楷体" w:hAnsi="楷体" w:eastAsia="楷体" w:cs="宋体"/>
                <w:b/>
                <w:spacing w:val="-2"/>
                <w:sz w:val="21"/>
                <w:szCs w:val="21"/>
              </w:rPr>
            </w:pPr>
            <w:r>
              <w:rPr>
                <w:rFonts w:hint="eastAsia" w:ascii="楷体" w:hAnsi="楷体" w:eastAsia="楷体" w:cs="宋体"/>
                <w:b/>
                <w:spacing w:val="-2"/>
                <w:sz w:val="21"/>
                <w:szCs w:val="21"/>
              </w:rPr>
              <w:t>募集币种</w:t>
            </w:r>
          </w:p>
        </w:tc>
        <w:tc>
          <w:tcPr>
            <w:tcW w:w="6614" w:type="dxa"/>
            <w:noWrap w:val="0"/>
            <w:vAlign w:val="center"/>
          </w:tcPr>
          <w:p>
            <w:pPr>
              <w:pStyle w:val="45"/>
              <w:kinsoku w:val="0"/>
              <w:overflowPunct w:val="0"/>
              <w:spacing w:before="14"/>
              <w:ind w:left="59" w:right="73" w:rightChars="35"/>
              <w:jc w:val="both"/>
              <w:rPr>
                <w:rFonts w:ascii="楷体" w:hAnsi="楷体" w:eastAsia="楷体" w:cs="宋体"/>
                <w:spacing w:val="-2"/>
                <w:sz w:val="21"/>
                <w:szCs w:val="21"/>
              </w:rPr>
            </w:pPr>
            <w:r>
              <w:rPr>
                <w:rFonts w:hint="eastAsia" w:ascii="楷体" w:hAnsi="楷体" w:eastAsia="楷体" w:cs="宋体"/>
                <w:spacing w:val="-2"/>
                <w:sz w:val="21"/>
                <w:szCs w:val="21"/>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4"/>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投资周期</w:t>
            </w:r>
          </w:p>
        </w:tc>
        <w:tc>
          <w:tcPr>
            <w:tcW w:w="6614" w:type="dxa"/>
            <w:noWrap w:val="0"/>
            <w:vAlign w:val="center"/>
          </w:tcPr>
          <w:p>
            <w:pPr>
              <w:pStyle w:val="45"/>
              <w:kinsoku w:val="0"/>
              <w:overflowPunct w:val="0"/>
              <w:spacing w:before="14"/>
              <w:ind w:left="59" w:right="73" w:rightChars="35"/>
              <w:jc w:val="both"/>
              <w:rPr>
                <w:rFonts w:hint="eastAsia" w:ascii="楷体" w:hAnsi="楷体" w:eastAsia="楷体" w:cs="宋体"/>
                <w:b/>
                <w:spacing w:val="-2"/>
                <w:sz w:val="21"/>
                <w:szCs w:val="21"/>
              </w:rPr>
            </w:pPr>
            <w:r>
              <w:rPr>
                <w:rFonts w:ascii="楷体" w:hAnsi="楷体" w:eastAsia="楷体" w:cs="宋体"/>
                <w:spacing w:val="-2"/>
                <w:sz w:val="21"/>
                <w:szCs w:val="21"/>
              </w:rPr>
              <w:t>3</w:t>
            </w:r>
            <w:r>
              <w:rPr>
                <w:rFonts w:hint="eastAsia" w:ascii="楷体" w:hAnsi="楷体" w:eastAsia="楷体" w:cs="宋体"/>
                <w:spacing w:val="-2"/>
                <w:sz w:val="21"/>
                <w:szCs w:val="21"/>
              </w:rPr>
              <w:t>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2"/>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计划发行规模</w:t>
            </w:r>
          </w:p>
        </w:tc>
        <w:tc>
          <w:tcPr>
            <w:tcW w:w="6614" w:type="dxa"/>
            <w:noWrap w:val="0"/>
            <w:vAlign w:val="center"/>
          </w:tcPr>
          <w:p>
            <w:pPr>
              <w:ind w:left="59" w:right="73" w:rightChars="35"/>
              <w:rPr>
                <w:rFonts w:hint="eastAsia" w:ascii="楷体" w:hAnsi="楷体" w:eastAsia="楷体" w:cs="宋体"/>
                <w:spacing w:val="-2"/>
                <w:szCs w:val="21"/>
              </w:rPr>
            </w:pPr>
            <w:r>
              <w:rPr>
                <w:rFonts w:hint="eastAsia" w:ascii="楷体" w:hAnsi="楷体" w:eastAsia="楷体" w:cs="宋体"/>
                <w:spacing w:val="-2"/>
                <w:szCs w:val="21"/>
              </w:rPr>
              <w:t>首期计划发行规模</w:t>
            </w:r>
            <w:r>
              <w:rPr>
                <w:rFonts w:hint="eastAsia" w:ascii="楷体" w:hAnsi="楷体" w:eastAsia="楷体" w:cs="宋体"/>
                <w:spacing w:val="-2"/>
                <w:szCs w:val="21"/>
                <w:lang w:val="en-US" w:eastAsia="zh-CN"/>
              </w:rPr>
              <w:t>28</w:t>
            </w:r>
            <w:r>
              <w:rPr>
                <w:rFonts w:hint="eastAsia" w:ascii="楷体" w:hAnsi="楷体" w:eastAsia="楷体" w:cs="宋体"/>
                <w:spacing w:val="-2"/>
                <w:szCs w:val="21"/>
              </w:rPr>
              <w:t>亿元</w:t>
            </w:r>
            <w:r>
              <w:rPr>
                <w:rFonts w:hint="eastAsia" w:ascii="楷体" w:hAnsi="楷体" w:eastAsia="楷体" w:cs="宋体"/>
                <w:spacing w:val="-2"/>
                <w:szCs w:val="21"/>
                <w:lang w:eastAsia="zh-CN"/>
              </w:rPr>
              <w:t>。</w:t>
            </w:r>
            <w:r>
              <w:rPr>
                <w:rFonts w:hint="eastAsia" w:ascii="楷体" w:hAnsi="楷体" w:eastAsia="楷体" w:cs="宋体"/>
                <w:spacing w:val="-2"/>
                <w:szCs w:val="21"/>
              </w:rPr>
              <w:t>募集过程中管理人有权根据产品的募集情况调整计划发行规模。后续开放期内管理人将根据客户申购/赎回情况调整产品发行规模。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2"/>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rPr>
              <w:t>认购起点</w:t>
            </w:r>
            <w:r>
              <w:rPr>
                <w:rFonts w:ascii="楷体" w:hAnsi="楷体" w:eastAsia="楷体" w:cs="宋体"/>
                <w:b/>
                <w:spacing w:val="-2"/>
                <w:sz w:val="21"/>
                <w:szCs w:val="21"/>
              </w:rPr>
              <w:t>/</w:t>
            </w:r>
            <w:r>
              <w:rPr>
                <w:rFonts w:hint="eastAsia" w:ascii="楷体" w:hAnsi="楷体" w:eastAsia="楷体" w:cs="宋体"/>
                <w:b/>
                <w:spacing w:val="-2"/>
                <w:sz w:val="21"/>
                <w:szCs w:val="21"/>
              </w:rPr>
              <w:t>追加金额</w:t>
            </w:r>
          </w:p>
        </w:tc>
        <w:tc>
          <w:tcPr>
            <w:tcW w:w="6614" w:type="dxa"/>
            <w:noWrap w:val="0"/>
            <w:vAlign w:val="center"/>
          </w:tcPr>
          <w:p>
            <w:pPr>
              <w:ind w:left="59" w:right="73" w:rightChars="35"/>
              <w:rPr>
                <w:rFonts w:hint="eastAsia" w:ascii="楷体" w:hAnsi="楷体" w:eastAsia="楷体" w:cs="宋体"/>
                <w:spacing w:val="-2"/>
                <w:szCs w:val="21"/>
              </w:rPr>
            </w:pPr>
            <w:r>
              <w:rPr>
                <w:rFonts w:hint="eastAsia" w:ascii="楷体" w:hAnsi="楷体" w:eastAsia="楷体" w:cs="宋体"/>
                <w:spacing w:val="-2"/>
                <w:szCs w:val="21"/>
              </w:rPr>
              <w:t>A份额认购起点</w:t>
            </w:r>
            <w:r>
              <w:rPr>
                <w:rFonts w:ascii="楷体" w:hAnsi="楷体" w:eastAsia="楷体" w:cs="宋体"/>
                <w:spacing w:val="-2"/>
                <w:szCs w:val="21"/>
              </w:rPr>
              <w:t>1</w:t>
            </w:r>
            <w:r>
              <w:rPr>
                <w:rFonts w:hint="eastAsia" w:ascii="楷体" w:hAnsi="楷体" w:eastAsia="楷体" w:cs="宋体"/>
                <w:spacing w:val="-2"/>
                <w:szCs w:val="21"/>
              </w:rPr>
              <w:t>元，</w:t>
            </w:r>
            <w:r>
              <w:rPr>
                <w:rFonts w:hint="eastAsia" w:ascii="楷体" w:hAnsi="楷体" w:eastAsia="楷体"/>
                <w:szCs w:val="21"/>
              </w:rPr>
              <w:t>追加金额为</w:t>
            </w:r>
            <w:r>
              <w:rPr>
                <w:rFonts w:ascii="楷体" w:hAnsi="楷体" w:eastAsia="楷体" w:cs="宋体"/>
                <w:spacing w:val="-2"/>
                <w:szCs w:val="21"/>
              </w:rPr>
              <w:t>1</w:t>
            </w:r>
            <w:r>
              <w:rPr>
                <w:rFonts w:hint="eastAsia" w:ascii="楷体" w:hAnsi="楷体" w:eastAsia="楷体"/>
                <w:szCs w:val="21"/>
              </w:rPr>
              <w:t>元的整数倍。</w:t>
            </w:r>
          </w:p>
          <w:p>
            <w:pPr>
              <w:ind w:left="59" w:right="73" w:rightChars="35"/>
              <w:rPr>
                <w:rFonts w:ascii="楷体" w:hAnsi="楷体" w:eastAsia="楷体"/>
                <w:szCs w:val="21"/>
              </w:rPr>
            </w:pPr>
            <w:r>
              <w:rPr>
                <w:rFonts w:hint="eastAsia" w:ascii="楷体" w:hAnsi="楷体" w:eastAsia="楷体" w:cs="宋体"/>
                <w:spacing w:val="-2"/>
                <w:szCs w:val="21"/>
              </w:rPr>
              <w:t>C份额认购起点</w:t>
            </w:r>
            <w:r>
              <w:rPr>
                <w:rFonts w:ascii="楷体" w:hAnsi="楷体" w:eastAsia="楷体" w:cs="宋体"/>
                <w:spacing w:val="-2"/>
                <w:szCs w:val="21"/>
              </w:rPr>
              <w:t>1</w:t>
            </w:r>
            <w:r>
              <w:rPr>
                <w:rFonts w:hint="eastAsia" w:ascii="楷体" w:hAnsi="楷体" w:eastAsia="楷体" w:cs="宋体"/>
                <w:spacing w:val="-2"/>
                <w:szCs w:val="21"/>
              </w:rPr>
              <w:t>万元，</w:t>
            </w:r>
            <w:r>
              <w:rPr>
                <w:rFonts w:hint="eastAsia" w:ascii="楷体" w:hAnsi="楷体" w:eastAsia="楷体"/>
                <w:szCs w:val="21"/>
              </w:rPr>
              <w:t>追加金额为</w:t>
            </w:r>
            <w:r>
              <w:rPr>
                <w:rFonts w:ascii="楷体" w:hAnsi="楷体" w:eastAsia="楷体" w:cs="宋体"/>
                <w:spacing w:val="-2"/>
                <w:szCs w:val="21"/>
              </w:rPr>
              <w:t>1</w:t>
            </w:r>
            <w:r>
              <w:rPr>
                <w:rFonts w:hint="eastAsia" w:ascii="楷体" w:hAnsi="楷体" w:eastAsia="楷体" w:cs="宋体"/>
                <w:spacing w:val="-2"/>
                <w:szCs w:val="21"/>
              </w:rPr>
              <w:t>万</w:t>
            </w:r>
            <w:r>
              <w:rPr>
                <w:rFonts w:hint="eastAsia" w:ascii="楷体" w:hAnsi="楷体" w:eastAsia="楷体"/>
                <w:szCs w:val="21"/>
              </w:rPr>
              <w:t>元的整数倍。</w:t>
            </w:r>
          </w:p>
          <w:p>
            <w:pPr>
              <w:ind w:left="59" w:right="73" w:rightChars="35"/>
              <w:rPr>
                <w:rFonts w:hint="eastAsia" w:ascii="楷体" w:hAnsi="楷体" w:eastAsia="楷体"/>
                <w:szCs w:val="21"/>
              </w:rPr>
            </w:pPr>
            <w:r>
              <w:rPr>
                <w:rFonts w:hint="eastAsia" w:ascii="楷体" w:hAnsi="楷体" w:eastAsia="楷体" w:cs="宋体"/>
                <w:spacing w:val="-2"/>
                <w:szCs w:val="21"/>
              </w:rPr>
              <w:t>D份额个人投资者认购起点50万元，追加金额为1万元的整数倍；机构投资者认购起点5000万元，追加金额为1万元的整数倍</w:t>
            </w:r>
            <w:r>
              <w:rPr>
                <w:rFonts w:hint="eastAsia" w:ascii="楷体" w:hAnsi="楷体" w:eastAsia="楷体"/>
                <w:szCs w:val="21"/>
              </w:rPr>
              <w:t>。</w:t>
            </w:r>
          </w:p>
          <w:p>
            <w:pPr>
              <w:ind w:left="59" w:right="73" w:rightChars="35"/>
              <w:rPr>
                <w:rFonts w:hint="eastAsia" w:ascii="楷体" w:hAnsi="楷体" w:eastAsia="楷体"/>
                <w:szCs w:val="21"/>
              </w:rPr>
            </w:pPr>
            <w:r>
              <w:rPr>
                <w:rFonts w:hint="eastAsia" w:ascii="楷体" w:hAnsi="楷体" w:eastAsia="楷体" w:cs="宋体"/>
                <w:spacing w:val="-2"/>
                <w:szCs w:val="21"/>
                <w:lang w:val="en-US" w:eastAsia="zh-CN"/>
              </w:rPr>
              <w:t>E</w:t>
            </w:r>
            <w:r>
              <w:rPr>
                <w:rFonts w:hint="eastAsia" w:ascii="楷体" w:hAnsi="楷体" w:eastAsia="楷体" w:cs="宋体"/>
                <w:spacing w:val="-2"/>
                <w:szCs w:val="21"/>
              </w:rPr>
              <w:t>份额认购起点</w:t>
            </w:r>
            <w:r>
              <w:rPr>
                <w:rFonts w:hint="eastAsia" w:ascii="楷体" w:hAnsi="楷体" w:eastAsia="楷体" w:cs="宋体"/>
                <w:spacing w:val="-2"/>
                <w:szCs w:val="21"/>
                <w:lang w:val="en-US" w:eastAsia="zh-CN"/>
              </w:rPr>
              <w:t>100</w:t>
            </w:r>
            <w:r>
              <w:rPr>
                <w:rFonts w:hint="eastAsia" w:ascii="楷体" w:hAnsi="楷体" w:eastAsia="楷体" w:cs="宋体"/>
                <w:spacing w:val="-2"/>
                <w:szCs w:val="21"/>
              </w:rPr>
              <w:t>万元，</w:t>
            </w:r>
            <w:r>
              <w:rPr>
                <w:rFonts w:hint="eastAsia" w:ascii="楷体" w:hAnsi="楷体" w:eastAsia="楷体"/>
                <w:szCs w:val="21"/>
              </w:rPr>
              <w:t>追加金额为</w:t>
            </w:r>
            <w:r>
              <w:rPr>
                <w:rFonts w:ascii="楷体" w:hAnsi="楷体" w:eastAsia="楷体" w:cs="宋体"/>
                <w:spacing w:val="-2"/>
                <w:szCs w:val="21"/>
              </w:rPr>
              <w:t>1</w:t>
            </w:r>
            <w:r>
              <w:rPr>
                <w:rFonts w:hint="eastAsia" w:ascii="楷体" w:hAnsi="楷体" w:eastAsia="楷体" w:cs="宋体"/>
                <w:spacing w:val="-2"/>
                <w:szCs w:val="21"/>
              </w:rPr>
              <w:t>万</w:t>
            </w:r>
            <w:r>
              <w:rPr>
                <w:rFonts w:hint="eastAsia" w:ascii="楷体" w:hAnsi="楷体" w:eastAsia="楷体"/>
                <w:szCs w:val="21"/>
              </w:rPr>
              <w:t>元的整数倍。</w:t>
            </w:r>
          </w:p>
          <w:p>
            <w:pPr>
              <w:ind w:left="59" w:right="73" w:rightChars="35"/>
              <w:rPr>
                <w:rFonts w:hint="eastAsia" w:ascii="楷体" w:hAnsi="楷体" w:eastAsia="楷体"/>
                <w:szCs w:val="21"/>
              </w:rPr>
            </w:pPr>
            <w:r>
              <w:rPr>
                <w:rFonts w:hint="eastAsia" w:ascii="楷体" w:hAnsi="楷体" w:eastAsia="楷体"/>
                <w:szCs w:val="21"/>
                <w:lang w:val="en-US" w:eastAsia="zh-CN"/>
              </w:rPr>
              <w:t>F份额</w:t>
            </w:r>
            <w:r>
              <w:rPr>
                <w:rFonts w:hint="eastAsia" w:ascii="楷体" w:hAnsi="楷体" w:eastAsia="楷体" w:cs="宋体"/>
                <w:spacing w:val="-2"/>
                <w:szCs w:val="21"/>
              </w:rPr>
              <w:t>认购起点</w:t>
            </w:r>
            <w:r>
              <w:rPr>
                <w:rFonts w:ascii="楷体" w:hAnsi="楷体" w:eastAsia="楷体" w:cs="宋体"/>
                <w:spacing w:val="-2"/>
                <w:szCs w:val="21"/>
              </w:rPr>
              <w:t>1</w:t>
            </w:r>
            <w:r>
              <w:rPr>
                <w:rFonts w:hint="eastAsia" w:ascii="楷体" w:hAnsi="楷体" w:eastAsia="楷体" w:cs="宋体"/>
                <w:spacing w:val="-2"/>
                <w:szCs w:val="21"/>
              </w:rPr>
              <w:t>元，</w:t>
            </w:r>
            <w:r>
              <w:rPr>
                <w:rFonts w:hint="eastAsia" w:ascii="楷体" w:hAnsi="楷体" w:eastAsia="楷体"/>
                <w:szCs w:val="21"/>
              </w:rPr>
              <w:t>追加金额为</w:t>
            </w:r>
            <w:r>
              <w:rPr>
                <w:rFonts w:ascii="楷体" w:hAnsi="楷体" w:eastAsia="楷体" w:cs="宋体"/>
                <w:spacing w:val="-2"/>
                <w:szCs w:val="21"/>
              </w:rPr>
              <w:t>1</w:t>
            </w:r>
            <w:r>
              <w:rPr>
                <w:rFonts w:hint="eastAsia" w:ascii="楷体" w:hAnsi="楷体" w:eastAsia="楷体"/>
                <w:szCs w:val="21"/>
              </w:rPr>
              <w:t>元的整数倍。</w:t>
            </w:r>
          </w:p>
          <w:p>
            <w:pPr>
              <w:ind w:left="59" w:right="73" w:rightChars="35"/>
              <w:rPr>
                <w:rFonts w:hint="eastAsia" w:ascii="楷体" w:hAnsi="楷体" w:eastAsia="楷体"/>
                <w:szCs w:val="21"/>
                <w:lang w:eastAsia="zh-CN"/>
              </w:rPr>
            </w:pPr>
            <w:r>
              <w:rPr>
                <w:rFonts w:hint="eastAsia" w:ascii="楷体" w:hAnsi="楷体" w:eastAsia="楷体"/>
                <w:szCs w:val="21"/>
                <w:lang w:val="en-US" w:eastAsia="zh-CN"/>
              </w:rPr>
              <w:t>W份额</w:t>
            </w:r>
            <w:r>
              <w:rPr>
                <w:rFonts w:hint="eastAsia" w:ascii="楷体" w:hAnsi="楷体" w:eastAsia="楷体" w:cs="宋体"/>
                <w:spacing w:val="-2"/>
                <w:szCs w:val="21"/>
              </w:rPr>
              <w:t>认购起点</w:t>
            </w:r>
            <w:r>
              <w:rPr>
                <w:rFonts w:ascii="楷体" w:hAnsi="楷体" w:eastAsia="楷体" w:cs="宋体"/>
                <w:spacing w:val="-2"/>
                <w:szCs w:val="21"/>
              </w:rPr>
              <w:t>1</w:t>
            </w:r>
            <w:r>
              <w:rPr>
                <w:rFonts w:hint="eastAsia" w:ascii="楷体" w:hAnsi="楷体" w:eastAsia="楷体" w:cs="宋体"/>
                <w:spacing w:val="-2"/>
                <w:szCs w:val="21"/>
              </w:rPr>
              <w:t>元，</w:t>
            </w:r>
            <w:r>
              <w:rPr>
                <w:rFonts w:hint="eastAsia" w:ascii="楷体" w:hAnsi="楷体" w:eastAsia="楷体"/>
                <w:szCs w:val="21"/>
              </w:rPr>
              <w:t>追加金额为</w:t>
            </w:r>
            <w:r>
              <w:rPr>
                <w:rFonts w:ascii="楷体" w:hAnsi="楷体" w:eastAsia="楷体" w:cs="宋体"/>
                <w:spacing w:val="-2"/>
                <w:szCs w:val="21"/>
              </w:rPr>
              <w:t>1</w:t>
            </w:r>
            <w:r>
              <w:rPr>
                <w:rFonts w:hint="eastAsia" w:ascii="楷体" w:hAnsi="楷体" w:eastAsia="楷体"/>
                <w:szCs w:val="21"/>
              </w:rPr>
              <w:t>元的整数倍</w:t>
            </w:r>
            <w:r>
              <w:rPr>
                <w:rFonts w:hint="eastAsia" w:ascii="楷体" w:hAnsi="楷体" w:eastAsia="楷体"/>
                <w:szCs w:val="21"/>
                <w:lang w:eastAsia="zh-CN"/>
              </w:rPr>
              <w:t>。</w:t>
            </w:r>
          </w:p>
          <w:p>
            <w:pPr>
              <w:ind w:left="59" w:right="73" w:rightChars="35"/>
              <w:rPr>
                <w:rFonts w:hint="eastAsia" w:ascii="楷体" w:hAnsi="楷体" w:eastAsia="楷体"/>
                <w:szCs w:val="21"/>
              </w:rPr>
            </w:pPr>
            <w:r>
              <w:rPr>
                <w:rFonts w:hint="eastAsia" w:ascii="楷体" w:hAnsi="楷体" w:eastAsia="楷体" w:cs="宋体"/>
                <w:spacing w:val="-2"/>
                <w:szCs w:val="21"/>
                <w:lang w:val="en-US" w:eastAsia="zh-CN"/>
              </w:rPr>
              <w:t>S</w:t>
            </w:r>
            <w:r>
              <w:rPr>
                <w:rFonts w:hint="eastAsia" w:ascii="楷体" w:hAnsi="楷体" w:eastAsia="楷体" w:cs="宋体"/>
                <w:spacing w:val="-2"/>
                <w:szCs w:val="21"/>
              </w:rPr>
              <w:t>份额认购起点</w:t>
            </w:r>
            <w:r>
              <w:rPr>
                <w:rFonts w:ascii="楷体" w:hAnsi="楷体" w:eastAsia="楷体" w:cs="宋体"/>
                <w:spacing w:val="-2"/>
                <w:szCs w:val="21"/>
              </w:rPr>
              <w:t>1</w:t>
            </w:r>
            <w:r>
              <w:rPr>
                <w:rFonts w:hint="eastAsia" w:ascii="楷体" w:hAnsi="楷体" w:eastAsia="楷体" w:cs="宋体"/>
                <w:spacing w:val="-2"/>
                <w:szCs w:val="21"/>
              </w:rPr>
              <w:t>元，</w:t>
            </w:r>
            <w:r>
              <w:rPr>
                <w:rFonts w:hint="eastAsia" w:ascii="楷体" w:hAnsi="楷体" w:eastAsia="楷体"/>
                <w:szCs w:val="21"/>
              </w:rPr>
              <w:t>追加金额为</w:t>
            </w:r>
            <w:r>
              <w:rPr>
                <w:rFonts w:ascii="楷体" w:hAnsi="楷体" w:eastAsia="楷体" w:cs="宋体"/>
                <w:spacing w:val="-2"/>
                <w:szCs w:val="21"/>
              </w:rPr>
              <w:t>1</w:t>
            </w:r>
            <w:r>
              <w:rPr>
                <w:rFonts w:hint="eastAsia" w:ascii="楷体" w:hAnsi="楷体" w:eastAsia="楷体"/>
                <w:szCs w:val="21"/>
              </w:rPr>
              <w:t>元的整数倍。</w:t>
            </w:r>
          </w:p>
          <w:p>
            <w:pPr>
              <w:ind w:left="59" w:leftChars="0" w:right="73" w:rightChars="35"/>
              <w:rPr>
                <w:rFonts w:hint="eastAsia" w:ascii="楷体" w:hAnsi="楷体" w:eastAsia="楷体" w:cs="宋体"/>
                <w:spacing w:val="-2"/>
                <w:szCs w:val="21"/>
              </w:rPr>
            </w:pPr>
            <w:r>
              <w:rPr>
                <w:rFonts w:hint="eastAsia" w:ascii="楷体" w:hAnsi="楷体" w:eastAsia="楷体"/>
                <w:szCs w:val="21"/>
              </w:rPr>
              <w:t>认购资金的清算和认购份额的计算详见下文“八、产品认购”。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3"/>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highlight w:val="none"/>
              </w:rPr>
              <w:t>份额面值</w:t>
            </w:r>
          </w:p>
        </w:tc>
        <w:tc>
          <w:tcPr>
            <w:tcW w:w="6614" w:type="dxa"/>
            <w:noWrap w:val="0"/>
            <w:vAlign w:val="center"/>
          </w:tcPr>
          <w:p>
            <w:pPr>
              <w:pStyle w:val="45"/>
              <w:kinsoku w:val="0"/>
              <w:overflowPunct w:val="0"/>
              <w:spacing w:before="12"/>
              <w:ind w:left="59" w:leftChars="0" w:right="73" w:rightChars="35"/>
              <w:jc w:val="both"/>
              <w:rPr>
                <w:rFonts w:hint="eastAsia" w:ascii="楷体" w:hAnsi="楷体" w:eastAsia="楷体"/>
                <w:szCs w:val="21"/>
              </w:rPr>
            </w:pPr>
            <w:r>
              <w:rPr>
                <w:rFonts w:hint="eastAsia" w:ascii="楷体" w:hAnsi="楷体" w:eastAsia="楷体" w:cs="宋体"/>
                <w:spacing w:val="-2"/>
                <w:sz w:val="21"/>
                <w:szCs w:val="21"/>
                <w:highlight w:val="none"/>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3"/>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募集期</w:t>
            </w:r>
          </w:p>
        </w:tc>
        <w:tc>
          <w:tcPr>
            <w:tcW w:w="6614" w:type="dxa"/>
            <w:noWrap w:val="0"/>
            <w:vAlign w:val="center"/>
          </w:tcPr>
          <w:p>
            <w:pPr>
              <w:pStyle w:val="45"/>
              <w:kinsoku w:val="0"/>
              <w:overflowPunct w:val="0"/>
              <w:spacing w:before="12"/>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lang w:eastAsia="zh-CN"/>
              </w:rPr>
              <w:t>2022年3月30日</w:t>
            </w:r>
            <w:r>
              <w:rPr>
                <w:rFonts w:hint="eastAsia" w:ascii="楷体" w:hAnsi="楷体" w:eastAsia="楷体" w:cs="宋体"/>
                <w:spacing w:val="-2"/>
                <w:sz w:val="21"/>
                <w:szCs w:val="21"/>
              </w:rPr>
              <w:t>9:00至</w:t>
            </w:r>
            <w:r>
              <w:rPr>
                <w:rFonts w:hint="eastAsia" w:ascii="楷体" w:hAnsi="楷体" w:eastAsia="楷体" w:cs="宋体"/>
                <w:spacing w:val="-2"/>
                <w:sz w:val="21"/>
                <w:szCs w:val="21"/>
                <w:lang w:eastAsia="zh-CN"/>
              </w:rPr>
              <w:t>2022年4月6日</w:t>
            </w:r>
            <w:r>
              <w:rPr>
                <w:rFonts w:hint="eastAsia" w:ascii="楷体" w:hAnsi="楷体" w:eastAsia="楷体" w:cs="宋体"/>
                <w:spacing w:val="-2"/>
                <w:sz w:val="21"/>
                <w:szCs w:val="21"/>
              </w:rPr>
              <w:t>17:00</w:t>
            </w:r>
          </w:p>
          <w:p>
            <w:pPr>
              <w:pStyle w:val="45"/>
              <w:kinsoku w:val="0"/>
              <w:overflowPunct w:val="0"/>
              <w:spacing w:before="12"/>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管理人在法律允许的范围内保留延长或提前终止产品募集期的权利。如有变动，实际产品募集期以管理人公告或各销售机构设置的募集时间为准。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2"/>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产品成立日</w:t>
            </w:r>
          </w:p>
        </w:tc>
        <w:tc>
          <w:tcPr>
            <w:tcW w:w="6614" w:type="dxa"/>
            <w:noWrap w:val="0"/>
            <w:vAlign w:val="center"/>
          </w:tcPr>
          <w:p>
            <w:pPr>
              <w:pStyle w:val="45"/>
              <w:kinsoku w:val="0"/>
              <w:overflowPunct w:val="0"/>
              <w:spacing w:before="12"/>
              <w:ind w:left="59" w:right="73" w:rightChars="3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lang w:eastAsia="zh-CN"/>
              </w:rPr>
              <w:t>2022年4月7日</w:t>
            </w:r>
          </w:p>
          <w:p>
            <w:pPr>
              <w:pStyle w:val="45"/>
              <w:kinsoku w:val="0"/>
              <w:overflowPunct w:val="0"/>
              <w:spacing w:before="12"/>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若产品认购份额未达到最低发行总规模</w:t>
            </w:r>
            <w:r>
              <w:rPr>
                <w:rFonts w:hint="eastAsia" w:ascii="楷体" w:hAnsi="楷体" w:eastAsia="楷体" w:cs="宋体"/>
                <w:spacing w:val="-2"/>
                <w:sz w:val="21"/>
                <w:szCs w:val="21"/>
                <w:lang w:val="en-US" w:eastAsia="zh-CN"/>
              </w:rPr>
              <w:t>3</w:t>
            </w:r>
            <w:r>
              <w:rPr>
                <w:rFonts w:ascii="楷体" w:hAnsi="楷体" w:eastAsia="楷体" w:cs="宋体"/>
                <w:spacing w:val="-2"/>
                <w:sz w:val="21"/>
                <w:szCs w:val="21"/>
              </w:rPr>
              <w:t>000</w:t>
            </w:r>
            <w:r>
              <w:rPr>
                <w:rFonts w:hint="eastAsia" w:ascii="楷体" w:hAnsi="楷体" w:eastAsia="楷体" w:cs="宋体"/>
                <w:spacing w:val="-2"/>
                <w:sz w:val="21"/>
                <w:szCs w:val="21"/>
              </w:rPr>
              <w:t>万</w:t>
            </w:r>
            <w:r>
              <w:rPr>
                <w:rFonts w:hint="eastAsia" w:ascii="楷体" w:hAnsi="楷体" w:eastAsia="楷体" w:cs="宋体"/>
                <w:spacing w:val="-2"/>
                <w:sz w:val="21"/>
                <w:szCs w:val="21"/>
                <w:lang w:val="en-US" w:eastAsia="zh-CN"/>
              </w:rPr>
              <w:t>元</w:t>
            </w:r>
            <w:r>
              <w:rPr>
                <w:rFonts w:hint="eastAsia" w:ascii="楷体" w:hAnsi="楷体" w:eastAsia="楷体" w:cs="宋体"/>
                <w:spacing w:val="-2"/>
                <w:sz w:val="21"/>
                <w:szCs w:val="21"/>
              </w:rPr>
              <w:t>，或新的法律、法规导致本产品无法合法合规运行，或出现其他导致影响产品成立的不可抗力因素，产品管理人有权利但无义务宣布产品不成立，并于产品募集期结束后5个工作日内将投资者认购资金返还至投资者资金账户，在途期间投资者投资本金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2"/>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产品到期日</w:t>
            </w:r>
          </w:p>
        </w:tc>
        <w:tc>
          <w:tcPr>
            <w:tcW w:w="6614" w:type="dxa"/>
            <w:noWrap w:val="0"/>
            <w:vAlign w:val="center"/>
          </w:tcPr>
          <w:p>
            <w:pPr>
              <w:pStyle w:val="45"/>
              <w:kinsoku w:val="0"/>
              <w:overflowPunct w:val="0"/>
              <w:spacing w:before="12"/>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lang w:eastAsia="zh-CN"/>
              </w:rPr>
              <w:t>2032年4月29日</w:t>
            </w:r>
            <w:r>
              <w:rPr>
                <w:rFonts w:hint="eastAsia" w:ascii="楷体" w:hAnsi="楷体" w:eastAsia="楷体" w:cs="宋体"/>
                <w:spacing w:val="-2"/>
                <w:sz w:val="21"/>
                <w:szCs w:val="21"/>
              </w:rPr>
              <w:t>（如遇节假日，顺延至下一工作日）</w:t>
            </w:r>
          </w:p>
          <w:p>
            <w:pPr>
              <w:pStyle w:val="45"/>
              <w:kinsoku w:val="0"/>
              <w:overflowPunct w:val="0"/>
              <w:spacing w:before="12"/>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在符合本理财产品说明书约定的条件下，管理人有权提前终止该产品，产品到期日受制于提前终止条款。详见下文“十一、产品的终止与清算”。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4"/>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开放计划</w:t>
            </w:r>
          </w:p>
        </w:tc>
        <w:tc>
          <w:tcPr>
            <w:tcW w:w="6614" w:type="dxa"/>
            <w:noWrap w:val="0"/>
            <w:vAlign w:val="center"/>
          </w:tcPr>
          <w:p>
            <w:pPr>
              <w:pStyle w:val="45"/>
              <w:kinsoku w:val="0"/>
              <w:overflowPunct w:val="0"/>
              <w:spacing w:before="14"/>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本产品按投资周期开放申购与赎回，首个投资周期终止日为</w:t>
            </w:r>
            <w:r>
              <w:rPr>
                <w:rFonts w:hint="eastAsia" w:ascii="楷体" w:hAnsi="楷体" w:eastAsia="楷体" w:cs="宋体"/>
                <w:spacing w:val="-2"/>
                <w:sz w:val="21"/>
                <w:szCs w:val="21"/>
                <w:lang w:eastAsia="zh-CN"/>
              </w:rPr>
              <w:t>2022年7月20日</w:t>
            </w:r>
            <w:r>
              <w:rPr>
                <w:rFonts w:hint="eastAsia" w:ascii="楷体" w:hAnsi="楷体" w:eastAsia="楷体" w:cs="宋体"/>
                <w:spacing w:val="-2"/>
                <w:sz w:val="21"/>
                <w:szCs w:val="21"/>
              </w:rPr>
              <w:t>，之后本产品每</w:t>
            </w:r>
            <w:r>
              <w:rPr>
                <w:rFonts w:ascii="楷体" w:hAnsi="楷体" w:eastAsia="楷体" w:cs="宋体"/>
                <w:spacing w:val="-2"/>
                <w:sz w:val="21"/>
                <w:szCs w:val="21"/>
              </w:rPr>
              <w:t>3</w:t>
            </w:r>
            <w:r>
              <w:rPr>
                <w:rFonts w:hint="eastAsia" w:ascii="楷体" w:hAnsi="楷体" w:eastAsia="楷体" w:cs="宋体"/>
                <w:spacing w:val="-2"/>
                <w:sz w:val="21"/>
                <w:szCs w:val="21"/>
              </w:rPr>
              <w:t>个月开放一次，投资者可在每个投资周期终止日前7</w:t>
            </w:r>
            <w:r>
              <w:rPr>
                <w:rFonts w:hint="eastAsia" w:ascii="楷体" w:hAnsi="楷体" w:eastAsia="楷体" w:cs="宋体"/>
                <w:spacing w:val="-2"/>
                <w:sz w:val="21"/>
                <w:szCs w:val="21"/>
                <w:lang w:val="en-US" w:eastAsia="zh-CN"/>
              </w:rPr>
              <w:t>个工作</w:t>
            </w:r>
            <w:r>
              <w:rPr>
                <w:rFonts w:hint="eastAsia" w:ascii="楷体" w:hAnsi="楷体" w:eastAsia="楷体" w:cs="宋体"/>
                <w:spacing w:val="-2"/>
                <w:sz w:val="21"/>
                <w:szCs w:val="21"/>
              </w:rPr>
              <w:t>日（含投资周期终止日）内，通过销售机构提出申购/赎回申请，管理人于投资周期终止日次日对申购/赎回申请予以统一确认，未赎回的部分份额自动进入下一个投资周期。（以各销售机构设置的开放时间为准）</w:t>
            </w:r>
          </w:p>
          <w:p>
            <w:pPr>
              <w:pStyle w:val="45"/>
              <w:kinsoku w:val="0"/>
              <w:overflowPunct w:val="0"/>
              <w:spacing w:before="14"/>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管理人有权根据资产运作情况、节假日安排调整开放计划，并在调整前进行公告。详见下文“九、产品申购、赎回”。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2"/>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rPr>
              <w:t>单个客户</w:t>
            </w:r>
            <w:r>
              <w:rPr>
                <w:rFonts w:hint="eastAsia" w:ascii="楷体" w:hAnsi="楷体" w:eastAsia="楷体" w:cs="宋体"/>
                <w:b/>
                <w:spacing w:val="-2"/>
                <w:sz w:val="21"/>
                <w:szCs w:val="21"/>
                <w:lang w:val="en-US" w:eastAsia="zh-CN"/>
              </w:rPr>
              <w:t>单日</w:t>
            </w:r>
            <w:r>
              <w:rPr>
                <w:rFonts w:hint="eastAsia" w:ascii="楷体" w:hAnsi="楷体" w:eastAsia="楷体" w:cs="宋体"/>
                <w:b/>
                <w:spacing w:val="-2"/>
                <w:sz w:val="21"/>
                <w:szCs w:val="21"/>
              </w:rPr>
              <w:t>认/申购限额</w:t>
            </w:r>
          </w:p>
        </w:tc>
        <w:tc>
          <w:tcPr>
            <w:tcW w:w="6614" w:type="dxa"/>
            <w:noWrap w:val="0"/>
            <w:vAlign w:val="center"/>
          </w:tcPr>
          <w:p>
            <w:pPr>
              <w:ind w:left="59" w:leftChars="0" w:right="73" w:rightChars="35"/>
              <w:rPr>
                <w:rFonts w:hint="eastAsia" w:ascii="楷体" w:hAnsi="楷体" w:eastAsia="楷体" w:cs="宋体"/>
                <w:spacing w:val="-2"/>
                <w:sz w:val="21"/>
                <w:szCs w:val="21"/>
              </w:rPr>
            </w:pPr>
            <w:r>
              <w:rPr>
                <w:rFonts w:hint="eastAsia" w:ascii="楷体" w:hAnsi="楷体" w:eastAsia="楷体" w:cs="宋体"/>
                <w:spacing w:val="-2"/>
                <w:kern w:val="0"/>
                <w:sz w:val="21"/>
                <w:szCs w:val="21"/>
                <w:lang w:val="en-US" w:eastAsia="zh-CN" w:bidi="ar-SA"/>
              </w:rPr>
              <w:t>1亿元。</w:t>
            </w:r>
            <w:r>
              <w:rPr>
                <w:rFonts w:hint="eastAsia" w:ascii="楷体" w:hAnsi="楷体" w:eastAsia="楷体" w:cs="宋体"/>
                <w:spacing w:val="-2"/>
                <w:sz w:val="21"/>
                <w:szCs w:val="21"/>
              </w:rPr>
              <w:t>超过单日累计认/申购上限时，</w:t>
            </w:r>
            <w:r>
              <w:rPr>
                <w:rFonts w:hint="eastAsia" w:ascii="楷体" w:hAnsi="楷体" w:eastAsia="楷体" w:cs="宋体"/>
                <w:spacing w:val="-2"/>
                <w:sz w:val="21"/>
                <w:szCs w:val="21"/>
                <w:lang w:val="en-US" w:eastAsia="zh-CN"/>
              </w:rPr>
              <w:t>管理人有权</w:t>
            </w:r>
            <w:r>
              <w:rPr>
                <w:rFonts w:hint="eastAsia" w:ascii="楷体" w:hAnsi="楷体" w:eastAsia="楷体" w:cs="宋体"/>
                <w:spacing w:val="-2"/>
                <w:sz w:val="21"/>
                <w:szCs w:val="21"/>
              </w:rPr>
              <w:t>拒绝投资者的认/申购申请。产品存续期</w:t>
            </w:r>
            <w:r>
              <w:rPr>
                <w:rFonts w:ascii="楷体" w:hAnsi="楷体" w:eastAsia="楷体" w:cs="宋体"/>
                <w:spacing w:val="-2"/>
                <w:sz w:val="21"/>
                <w:szCs w:val="21"/>
              </w:rPr>
              <w:t>内管理人有权根据实际情况调整</w:t>
            </w:r>
            <w:r>
              <w:rPr>
                <w:rFonts w:hint="eastAsia" w:ascii="楷体" w:hAnsi="楷体" w:eastAsia="楷体" w:cs="宋体"/>
                <w:spacing w:val="-2"/>
                <w:sz w:val="21"/>
                <w:szCs w:val="21"/>
              </w:rPr>
              <w:t>单日累计认/申购上限。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2"/>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rPr>
              <w:t>单个客户持有份额上限</w:t>
            </w:r>
          </w:p>
        </w:tc>
        <w:tc>
          <w:tcPr>
            <w:tcW w:w="6614" w:type="dxa"/>
            <w:noWrap w:val="0"/>
            <w:vAlign w:val="center"/>
          </w:tcPr>
          <w:p>
            <w:pPr>
              <w:ind w:left="59" w:leftChars="0" w:right="73" w:rightChars="35"/>
              <w:rPr>
                <w:rFonts w:hint="eastAsia" w:ascii="楷体" w:hAnsi="楷体" w:eastAsia="楷体" w:cs="宋体"/>
                <w:spacing w:val="-2"/>
                <w:sz w:val="21"/>
                <w:szCs w:val="21"/>
              </w:rPr>
            </w:pPr>
            <w:r>
              <w:rPr>
                <w:rFonts w:hint="eastAsia" w:ascii="楷体" w:hAnsi="楷体" w:eastAsia="楷体" w:cs="宋体"/>
                <w:spacing w:val="-2"/>
                <w:kern w:val="0"/>
                <w:sz w:val="21"/>
                <w:szCs w:val="21"/>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4"/>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rPr>
              <w:t>单个客户赎回限额</w:t>
            </w:r>
          </w:p>
        </w:tc>
        <w:tc>
          <w:tcPr>
            <w:tcW w:w="6614" w:type="dxa"/>
            <w:noWrap w:val="0"/>
            <w:vAlign w:val="center"/>
          </w:tcPr>
          <w:p>
            <w:pPr>
              <w:pStyle w:val="45"/>
              <w:kinsoku w:val="0"/>
              <w:overflowPunct w:val="0"/>
              <w:spacing w:before="14"/>
              <w:ind w:left="59" w:leftChars="0" w:right="73" w:rightChars="35"/>
              <w:jc w:val="both"/>
              <w:rPr>
                <w:rFonts w:hint="eastAsia" w:ascii="楷体" w:hAnsi="楷体" w:eastAsia="楷体" w:cs="宋体"/>
                <w:spacing w:val="-2"/>
                <w:sz w:val="21"/>
                <w:szCs w:val="21"/>
              </w:rPr>
            </w:pPr>
            <w:r>
              <w:rPr>
                <w:rFonts w:hint="eastAsia" w:ascii="楷体" w:hAnsi="楷体" w:eastAsia="楷体" w:cs="宋体"/>
                <w:spacing w:val="-2"/>
                <w:kern w:val="0"/>
                <w:sz w:val="21"/>
                <w:szCs w:val="21"/>
                <w:lang w:val="en-US" w:eastAsia="zh-CN" w:bidi="ar-SA"/>
              </w:rPr>
              <w:t>1亿份。</w:t>
            </w:r>
            <w:r>
              <w:rPr>
                <w:rFonts w:hint="eastAsia" w:ascii="楷体" w:hAnsi="楷体" w:eastAsia="楷体" w:cs="宋体"/>
                <w:b/>
                <w:bCs/>
                <w:spacing w:val="-2"/>
                <w:kern w:val="0"/>
                <w:sz w:val="21"/>
                <w:szCs w:val="21"/>
                <w:u w:val="single"/>
                <w:lang w:val="en-US" w:eastAsia="zh-CN" w:bidi="ar-SA"/>
              </w:rPr>
              <w:t>超过单个客户赎回限额时，管理人有权拒绝投资者的赎回申请。对于单个投资者单个开放日申请赎回理财份额超过上一交易日日终理财产品总份额的10%的部分，管理人有权暂停接受其赎回申请。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4"/>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rPr>
              <w:t>巨额申购</w:t>
            </w:r>
          </w:p>
        </w:tc>
        <w:tc>
          <w:tcPr>
            <w:tcW w:w="6614" w:type="dxa"/>
            <w:noWrap w:val="0"/>
            <w:vAlign w:val="center"/>
          </w:tcPr>
          <w:p>
            <w:pPr>
              <w:pStyle w:val="45"/>
              <w:kinsoku w:val="0"/>
              <w:overflowPunct w:val="0"/>
              <w:spacing w:before="14"/>
              <w:ind w:left="59" w:leftChars="0"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highlight w:val="none"/>
              </w:rPr>
              <w:t>本产品单个开放日</w:t>
            </w:r>
            <w:r>
              <w:rPr>
                <w:rFonts w:hint="eastAsia" w:ascii="楷体" w:hAnsi="楷体" w:eastAsia="楷体" w:cs="宋体"/>
                <w:spacing w:val="-2"/>
                <w:sz w:val="21"/>
                <w:szCs w:val="18"/>
                <w:highlight w:val="none"/>
              </w:rPr>
              <w:t>投资者</w:t>
            </w:r>
            <w:r>
              <w:rPr>
                <w:rFonts w:hint="eastAsia" w:ascii="楷体" w:hAnsi="楷体" w:eastAsia="楷体" w:cs="宋体"/>
                <w:spacing w:val="-2"/>
                <w:sz w:val="21"/>
                <w:szCs w:val="21"/>
                <w:highlight w:val="none"/>
              </w:rPr>
              <w:t>净</w:t>
            </w:r>
            <w:r>
              <w:rPr>
                <w:rFonts w:hint="eastAsia" w:ascii="楷体" w:hAnsi="楷体" w:eastAsia="楷体" w:cs="宋体"/>
                <w:spacing w:val="-2"/>
                <w:sz w:val="21"/>
                <w:szCs w:val="21"/>
                <w:highlight w:val="none"/>
                <w:lang w:val="en-US" w:eastAsia="zh-CN"/>
              </w:rPr>
              <w:t>申购</w:t>
            </w:r>
            <w:r>
              <w:rPr>
                <w:rFonts w:hint="eastAsia" w:ascii="楷体" w:hAnsi="楷体" w:eastAsia="楷体" w:cs="宋体"/>
                <w:spacing w:val="-2"/>
                <w:sz w:val="21"/>
                <w:szCs w:val="21"/>
                <w:highlight w:val="none"/>
              </w:rPr>
              <w:t>额（申购申请份额总数扣除赎回申请份额总数）超过上一日产品总份额20%时，即</w:t>
            </w:r>
            <w:r>
              <w:rPr>
                <w:rFonts w:hint="eastAsia" w:ascii="楷体" w:hAnsi="楷体" w:eastAsia="楷体" w:cs="宋体"/>
                <w:spacing w:val="-2"/>
                <w:sz w:val="21"/>
                <w:szCs w:val="21"/>
              </w:rPr>
              <w:t>认为发生了巨额申购。</w:t>
            </w:r>
            <w:r>
              <w:rPr>
                <w:rFonts w:hint="eastAsia" w:ascii="楷体" w:hAnsi="楷体" w:eastAsia="楷体" w:cs="宋体"/>
                <w:b/>
                <w:bCs/>
                <w:spacing w:val="-2"/>
                <w:sz w:val="21"/>
                <w:szCs w:val="21"/>
                <w:u w:val="single"/>
              </w:rPr>
              <w:t>当出现巨额申购时，产品管理人有权拒绝客户的全部或部分申购申请。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8"/>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highlight w:val="none"/>
              </w:rPr>
              <w:t>巨额赎回</w:t>
            </w:r>
          </w:p>
        </w:tc>
        <w:tc>
          <w:tcPr>
            <w:tcW w:w="6614" w:type="dxa"/>
            <w:noWrap w:val="0"/>
            <w:vAlign w:val="center"/>
          </w:tcPr>
          <w:p>
            <w:pPr>
              <w:ind w:right="115" w:rightChars="55"/>
              <w:rPr>
                <w:rFonts w:hint="eastAsia" w:ascii="楷体" w:hAnsi="楷体" w:eastAsia="楷体" w:cs="宋体"/>
                <w:spacing w:val="-2"/>
                <w:szCs w:val="21"/>
              </w:rPr>
            </w:pPr>
            <w:r>
              <w:rPr>
                <w:rFonts w:hint="eastAsia" w:ascii="楷体" w:hAnsi="楷体" w:eastAsia="楷体" w:cs="宋体"/>
                <w:spacing w:val="-2"/>
                <w:szCs w:val="21"/>
              </w:rPr>
              <w:t>本产品每个开放日投资者净赎回额（赎回申请份额总数扣除申购申请份额总数）超过本产品上一工作日日终份额10%时，即为发生巨额赎回。产品管理人可以根据本产品当时的资产组合状况决定采取全额赎回、部分赎回、</w:t>
            </w:r>
            <w:r>
              <w:rPr>
                <w:rFonts w:ascii="楷体" w:hAnsi="楷体" w:eastAsia="楷体" w:cs="宋体"/>
                <w:spacing w:val="-2"/>
                <w:szCs w:val="21"/>
              </w:rPr>
              <w:t>延期</w:t>
            </w:r>
            <w:r>
              <w:rPr>
                <w:rFonts w:hint="eastAsia" w:ascii="楷体" w:hAnsi="楷体" w:eastAsia="楷体" w:cs="宋体"/>
                <w:spacing w:val="-2"/>
                <w:szCs w:val="21"/>
              </w:rPr>
              <w:t>办理</w:t>
            </w:r>
            <w:r>
              <w:rPr>
                <w:rFonts w:ascii="楷体" w:hAnsi="楷体" w:eastAsia="楷体" w:cs="宋体"/>
                <w:spacing w:val="-2"/>
                <w:szCs w:val="21"/>
              </w:rPr>
              <w:t>巨额赎回</w:t>
            </w:r>
            <w:r>
              <w:rPr>
                <w:rFonts w:hint="eastAsia" w:ascii="楷体" w:hAnsi="楷体" w:eastAsia="楷体" w:cs="宋体"/>
                <w:spacing w:val="-2"/>
                <w:szCs w:val="21"/>
              </w:rPr>
              <w:t>等</w:t>
            </w:r>
            <w:r>
              <w:rPr>
                <w:rFonts w:ascii="楷体" w:hAnsi="楷体" w:eastAsia="楷体" w:cs="宋体"/>
                <w:spacing w:val="-2"/>
                <w:szCs w:val="21"/>
              </w:rPr>
              <w:t>措施</w:t>
            </w:r>
            <w:r>
              <w:rPr>
                <w:rFonts w:hint="eastAsia" w:ascii="楷体" w:hAnsi="楷体" w:eastAsia="楷体" w:cs="宋体"/>
                <w:spacing w:val="-2"/>
                <w:szCs w:val="21"/>
              </w:rPr>
              <w:t>，产品管理人将在采取</w:t>
            </w:r>
            <w:r>
              <w:rPr>
                <w:rFonts w:ascii="楷体" w:hAnsi="楷体" w:eastAsia="楷体" w:cs="宋体"/>
                <w:spacing w:val="-2"/>
                <w:szCs w:val="21"/>
              </w:rPr>
              <w:t>相关</w:t>
            </w:r>
            <w:r>
              <w:rPr>
                <w:rFonts w:hint="eastAsia" w:ascii="楷体" w:hAnsi="楷体" w:eastAsia="楷体" w:cs="宋体"/>
                <w:spacing w:val="-2"/>
                <w:szCs w:val="21"/>
              </w:rPr>
              <w:t>措施后3个工作日内进行信息披露。</w:t>
            </w:r>
          </w:p>
          <w:p>
            <w:pPr>
              <w:jc w:val="both"/>
              <w:rPr>
                <w:rFonts w:ascii="楷体" w:hAnsi="楷体" w:eastAsia="楷体" w:cs="宋体"/>
                <w:b/>
                <w:spacing w:val="-2"/>
                <w:szCs w:val="21"/>
                <w:u w:val="single"/>
              </w:rPr>
            </w:pPr>
            <w:r>
              <w:rPr>
                <w:rFonts w:hint="eastAsia" w:ascii="楷体" w:hAnsi="楷体" w:eastAsia="楷体" w:cs="宋体"/>
                <w:b/>
                <w:spacing w:val="-2"/>
                <w:szCs w:val="21"/>
                <w:u w:val="single"/>
              </w:rPr>
              <w:t>1.全额赎回：当产品管理人有能力兑付投资者的全部赎回申请时，将在申请确认日按投资者申请赎回份额执行正常赎回程序。</w:t>
            </w:r>
          </w:p>
          <w:p>
            <w:pPr>
              <w:jc w:val="both"/>
              <w:rPr>
                <w:rFonts w:ascii="楷体" w:hAnsi="楷体" w:eastAsia="楷体" w:cs="宋体"/>
                <w:b/>
                <w:spacing w:val="-2"/>
                <w:szCs w:val="21"/>
                <w:u w:val="single"/>
              </w:rPr>
            </w:pPr>
            <w:r>
              <w:rPr>
                <w:rFonts w:hint="eastAsia" w:ascii="楷体" w:hAnsi="楷体" w:eastAsia="楷体" w:cs="宋体"/>
                <w:b/>
                <w:spacing w:val="-2"/>
                <w:szCs w:val="21"/>
                <w:u w:val="single"/>
              </w:rPr>
              <w:t>2.部分赎回</w:t>
            </w:r>
            <w:r>
              <w:rPr>
                <w:rFonts w:ascii="楷体" w:hAnsi="楷体" w:eastAsia="楷体" w:cs="宋体"/>
                <w:b/>
                <w:spacing w:val="-2"/>
                <w:szCs w:val="21"/>
                <w:u w:val="single"/>
              </w:rPr>
              <w:t>：</w:t>
            </w:r>
            <w:r>
              <w:rPr>
                <w:rFonts w:hint="eastAsia" w:ascii="楷体" w:hAnsi="楷体" w:eastAsia="楷体" w:cs="宋体"/>
                <w:b/>
                <w:spacing w:val="-2"/>
                <w:szCs w:val="21"/>
                <w:u w:val="single"/>
              </w:rPr>
              <w:t>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赎回总份额的比例，确定该份额持有人当日办理的赎回份额。</w:t>
            </w:r>
          </w:p>
          <w:p>
            <w:pPr>
              <w:ind w:right="73" w:rightChars="35"/>
              <w:jc w:val="both"/>
              <w:rPr>
                <w:rFonts w:hint="eastAsia" w:ascii="楷体" w:hAnsi="楷体" w:eastAsia="楷体" w:cs="宋体"/>
                <w:spacing w:val="-2"/>
                <w:sz w:val="21"/>
                <w:szCs w:val="21"/>
              </w:rPr>
            </w:pPr>
            <w:r>
              <w:rPr>
                <w:rFonts w:hint="eastAsia" w:ascii="楷体" w:hAnsi="楷体" w:eastAsia="楷体" w:cs="宋体"/>
                <w:b/>
                <w:spacing w:val="-2"/>
                <w:szCs w:val="21"/>
                <w:u w:val="single"/>
              </w:rPr>
              <w:t>3.对于该开放日内净赎回额超过本产品上一工作日日终份额10%时，管理人有权拒绝超过10%以上部分的赎回申请。未确认受理的赎回申请份额，投资者</w:t>
            </w:r>
            <w:r>
              <w:rPr>
                <w:rFonts w:ascii="楷体" w:hAnsi="楷体" w:eastAsia="楷体" w:cs="宋体"/>
                <w:b/>
                <w:spacing w:val="-2"/>
                <w:szCs w:val="21"/>
                <w:u w:val="single"/>
              </w:rPr>
              <w:t>可</w:t>
            </w:r>
            <w:r>
              <w:rPr>
                <w:rFonts w:hint="eastAsia" w:ascii="楷体" w:hAnsi="楷体" w:eastAsia="楷体" w:cs="宋体"/>
                <w:b/>
                <w:spacing w:val="-2"/>
                <w:szCs w:val="21"/>
                <w:u w:val="single"/>
              </w:rPr>
              <w:t>选择将当日未获受理部分予以撤销（巨额赎回处理方式具体以</w:t>
            </w:r>
            <w:r>
              <w:rPr>
                <w:rFonts w:hint="eastAsia" w:ascii="楷体" w:hAnsi="楷体" w:eastAsia="楷体" w:cs="宋体"/>
                <w:b/>
                <w:spacing w:val="-2"/>
                <w:szCs w:val="21"/>
                <w:u w:val="single"/>
                <w:lang w:val="en-US" w:eastAsia="zh-CN"/>
              </w:rPr>
              <w:t>销售</w:t>
            </w:r>
            <w:r>
              <w:rPr>
                <w:rFonts w:hint="eastAsia" w:ascii="楷体" w:hAnsi="楷体" w:eastAsia="楷体" w:cs="宋体"/>
                <w:b/>
                <w:spacing w:val="-2"/>
                <w:szCs w:val="21"/>
                <w:u w:val="single"/>
              </w:rPr>
              <w:t>机构展示为准），未选择撤销的赎回申请，产品</w:t>
            </w:r>
            <w:r>
              <w:rPr>
                <w:rFonts w:ascii="楷体" w:hAnsi="楷体" w:eastAsia="楷体" w:cs="宋体"/>
                <w:b/>
                <w:spacing w:val="-2"/>
                <w:szCs w:val="21"/>
                <w:u w:val="single"/>
              </w:rPr>
              <w:t>管理人可以</w:t>
            </w:r>
            <w:r>
              <w:rPr>
                <w:rFonts w:hint="eastAsia" w:ascii="楷体" w:hAnsi="楷体" w:eastAsia="楷体" w:cs="宋体"/>
                <w:b/>
                <w:spacing w:val="-2"/>
                <w:szCs w:val="21"/>
                <w:u w:val="single"/>
              </w:rPr>
              <w:t>延迟至下一开放日处理，转入下一开放日的赎回申请不享有优先确认权。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8"/>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rPr>
              <w:t>连续巨额赎回</w:t>
            </w:r>
          </w:p>
        </w:tc>
        <w:tc>
          <w:tcPr>
            <w:tcW w:w="661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right="53" w:rightChars="25"/>
              <w:textAlignment w:val="auto"/>
              <w:outlineLvl w:val="9"/>
              <w:rPr>
                <w:rFonts w:hint="eastAsia" w:ascii="楷体" w:hAnsi="楷体" w:eastAsia="楷体" w:cs="宋体"/>
                <w:spacing w:val="-2"/>
                <w:sz w:val="21"/>
                <w:szCs w:val="21"/>
              </w:rPr>
            </w:pPr>
            <w:r>
              <w:rPr>
                <w:rFonts w:hint="eastAsia" w:ascii="楷体" w:hAnsi="楷体" w:eastAsia="楷体" w:cs="宋体"/>
                <w:spacing w:val="-2"/>
                <w:kern w:val="0"/>
                <w:sz w:val="21"/>
                <w:szCs w:val="21"/>
                <w:lang w:val="en-US" w:eastAsia="zh-CN" w:bidi="ar-SA"/>
              </w:rPr>
              <w:t>连续2个以上开放日发生巨额赎回的，对于已经接受的赎回申请，可以延缓支付赎回款项，但延缓期限不得超过20个工作日。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2"/>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rPr>
              <w:t>业绩比较基准（年化）</w:t>
            </w:r>
          </w:p>
        </w:tc>
        <w:tc>
          <w:tcPr>
            <w:tcW w:w="6614" w:type="dxa"/>
            <w:noWrap w:val="0"/>
            <w:vAlign w:val="center"/>
          </w:tcPr>
          <w:p>
            <w:pPr>
              <w:ind w:left="59" w:right="73" w:rightChars="35"/>
              <w:rPr>
                <w:rFonts w:hint="eastAsia" w:ascii="楷体" w:hAnsi="楷体" w:eastAsia="楷体"/>
                <w:b w:val="0"/>
                <w:bCs w:val="0"/>
                <w:szCs w:val="21"/>
              </w:rPr>
            </w:pPr>
            <w:bookmarkStart w:id="0" w:name="_GoBack"/>
            <w:r>
              <w:rPr>
                <w:rFonts w:hint="eastAsia" w:ascii="楷体" w:hAnsi="楷体" w:eastAsia="楷体" w:cs="宋体"/>
                <w:b/>
                <w:bCs/>
                <w:spacing w:val="-2"/>
                <w:sz w:val="21"/>
                <w:szCs w:val="21"/>
                <w:u w:val="single"/>
              </w:rPr>
              <w:t>苏银理财</w:t>
            </w:r>
            <w:r>
              <w:rPr>
                <w:rFonts w:ascii="楷体" w:hAnsi="楷体" w:eastAsia="楷体" w:cs="宋体"/>
                <w:b/>
                <w:bCs/>
                <w:spacing w:val="-2"/>
                <w:sz w:val="21"/>
                <w:szCs w:val="21"/>
                <w:u w:val="single"/>
              </w:rPr>
              <w:t>参考过往投资经验，依据近期货币市场工具、债券</w:t>
            </w:r>
            <w:r>
              <w:rPr>
                <w:rFonts w:hint="eastAsia" w:ascii="楷体" w:hAnsi="楷体" w:eastAsia="楷体" w:cs="宋体"/>
                <w:b/>
                <w:bCs/>
                <w:spacing w:val="-2"/>
                <w:sz w:val="21"/>
                <w:szCs w:val="21"/>
                <w:u w:val="single"/>
              </w:rPr>
              <w:t>、非标准化债权</w:t>
            </w:r>
            <w:r>
              <w:rPr>
                <w:rFonts w:ascii="楷体" w:hAnsi="楷体" w:eastAsia="楷体" w:cs="宋体"/>
                <w:b/>
                <w:bCs/>
                <w:spacing w:val="-2"/>
                <w:sz w:val="21"/>
                <w:szCs w:val="21"/>
                <w:u w:val="single"/>
              </w:rPr>
              <w:t>等资产</w:t>
            </w:r>
            <w:r>
              <w:rPr>
                <w:rFonts w:hint="eastAsia" w:ascii="楷体" w:hAnsi="楷体" w:eastAsia="楷体" w:cs="宋体"/>
                <w:b/>
                <w:bCs/>
                <w:spacing w:val="-2"/>
                <w:sz w:val="21"/>
                <w:szCs w:val="21"/>
                <w:u w:val="single"/>
              </w:rPr>
              <w:t>投资</w:t>
            </w:r>
            <w:r>
              <w:rPr>
                <w:rFonts w:ascii="楷体" w:hAnsi="楷体" w:eastAsia="楷体" w:cs="宋体"/>
                <w:b/>
                <w:bCs/>
                <w:spacing w:val="-2"/>
                <w:sz w:val="21"/>
                <w:szCs w:val="21"/>
                <w:u w:val="single"/>
              </w:rPr>
              <w:t>收益水平，在产品说明书约定的投资范围和投资比例内</w:t>
            </w:r>
            <w:r>
              <w:rPr>
                <w:rFonts w:hint="eastAsia" w:ascii="楷体" w:hAnsi="楷体" w:eastAsia="楷体" w:cs="宋体"/>
                <w:b/>
                <w:bCs/>
                <w:spacing w:val="-2"/>
                <w:sz w:val="21"/>
                <w:szCs w:val="21"/>
                <w:u w:val="single"/>
              </w:rPr>
              <w:t>，综合考虑各份额收取的销售服务费和投资管理费的情况，</w:t>
            </w:r>
            <w:r>
              <w:rPr>
                <w:rFonts w:ascii="楷体" w:hAnsi="楷体" w:eastAsia="楷体" w:cs="宋体"/>
                <w:b/>
                <w:bCs/>
                <w:spacing w:val="-2"/>
                <w:sz w:val="21"/>
                <w:szCs w:val="21"/>
                <w:u w:val="single"/>
              </w:rPr>
              <w:t>模拟测算得出</w:t>
            </w:r>
            <w:r>
              <w:rPr>
                <w:rFonts w:hint="eastAsia" w:ascii="楷体" w:hAnsi="楷体" w:eastAsia="楷体" w:cs="宋体"/>
                <w:b/>
                <w:bCs/>
                <w:spacing w:val="-2"/>
                <w:sz w:val="21"/>
                <w:szCs w:val="21"/>
                <w:u w:val="single"/>
              </w:rPr>
              <w:t>业绩比较基准。</w:t>
            </w:r>
            <w:bookmarkEnd w:id="0"/>
            <w:r>
              <w:rPr>
                <w:rFonts w:hint="eastAsia" w:ascii="楷体" w:hAnsi="楷体" w:eastAsia="楷体" w:cs="宋体"/>
                <w:b/>
                <w:bCs/>
                <w:spacing w:val="-2"/>
                <w:sz w:val="21"/>
                <w:szCs w:val="21"/>
                <w:u w:val="single"/>
              </w:rPr>
              <w:t>本产品各份额因收取的销售服务费和投资管理费存在差异，业绩比较基准设置将有所不同。</w:t>
            </w:r>
            <w:r>
              <w:rPr>
                <w:rFonts w:hint="eastAsia" w:ascii="楷体" w:hAnsi="楷体" w:eastAsia="楷体" w:cs="宋体"/>
                <w:b w:val="0"/>
                <w:bCs w:val="0"/>
                <w:spacing w:val="-2"/>
                <w:sz w:val="21"/>
                <w:szCs w:val="21"/>
                <w:u w:val="single"/>
              </w:rPr>
              <w:t>各份额业绩比较基准如下：</w:t>
            </w:r>
          </w:p>
          <w:tbl>
            <w:tblPr>
              <w:tblStyle w:val="14"/>
              <w:tblW w:w="6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871"/>
              <w:gridCol w:w="1871"/>
              <w:gridCol w:w="1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ascii="楷体" w:hAnsi="楷体" w:eastAsia="楷体"/>
                      <w:szCs w:val="21"/>
                    </w:rPr>
                  </w:pPr>
                  <w:r>
                    <w:rPr>
                      <w:rFonts w:hint="eastAsia" w:ascii="楷体" w:hAnsi="楷体" w:eastAsia="楷体"/>
                      <w:szCs w:val="21"/>
                    </w:rPr>
                    <w:t>投资周期</w:t>
                  </w:r>
                </w:p>
              </w:tc>
              <w:tc>
                <w:tcPr>
                  <w:tcW w:w="1871" w:type="dxa"/>
                  <w:noWrap w:val="0"/>
                  <w:vAlign w:val="center"/>
                </w:tcPr>
                <w:p>
                  <w:pPr>
                    <w:jc w:val="center"/>
                    <w:rPr>
                      <w:rFonts w:ascii="楷体" w:hAnsi="楷体" w:eastAsia="楷体"/>
                      <w:szCs w:val="21"/>
                    </w:rPr>
                  </w:pPr>
                  <w:r>
                    <w:rPr>
                      <w:rFonts w:hint="eastAsia" w:ascii="楷体" w:hAnsi="楷体" w:eastAsia="楷体"/>
                      <w:szCs w:val="21"/>
                    </w:rPr>
                    <w:t>投资周期起始日</w:t>
                  </w:r>
                </w:p>
              </w:tc>
              <w:tc>
                <w:tcPr>
                  <w:tcW w:w="1871" w:type="dxa"/>
                  <w:noWrap w:val="0"/>
                  <w:vAlign w:val="center"/>
                </w:tcPr>
                <w:p>
                  <w:pPr>
                    <w:jc w:val="center"/>
                    <w:rPr>
                      <w:rFonts w:ascii="楷体" w:hAnsi="楷体" w:eastAsia="楷体"/>
                      <w:szCs w:val="21"/>
                    </w:rPr>
                  </w:pPr>
                  <w:r>
                    <w:rPr>
                      <w:rFonts w:hint="eastAsia" w:ascii="楷体" w:hAnsi="楷体" w:eastAsia="楷体"/>
                      <w:szCs w:val="21"/>
                    </w:rPr>
                    <w:t>投资周期终止日</w:t>
                  </w:r>
                </w:p>
              </w:tc>
              <w:tc>
                <w:tcPr>
                  <w:tcW w:w="1928" w:type="dxa"/>
                  <w:noWrap w:val="0"/>
                  <w:vAlign w:val="center"/>
                </w:tcPr>
                <w:p>
                  <w:pPr>
                    <w:jc w:val="center"/>
                    <w:rPr>
                      <w:rFonts w:hint="eastAsia" w:ascii="楷体" w:hAnsi="楷体" w:eastAsia="楷体"/>
                      <w:szCs w:val="21"/>
                    </w:rPr>
                  </w:pPr>
                  <w:r>
                    <w:rPr>
                      <w:rFonts w:hint="eastAsia" w:ascii="楷体" w:hAnsi="楷体" w:eastAsia="楷体"/>
                      <w:szCs w:val="21"/>
                    </w:rPr>
                    <w:t>业绩比较基准</w:t>
                  </w:r>
                </w:p>
                <w:p>
                  <w:pPr>
                    <w:jc w:val="center"/>
                    <w:rPr>
                      <w:rFonts w:hint="default" w:ascii="楷体" w:hAnsi="楷体" w:eastAsia="楷体"/>
                      <w:szCs w:val="21"/>
                      <w:lang w:val="en-US" w:eastAsia="zh-CN"/>
                    </w:rPr>
                  </w:pPr>
                  <w:r>
                    <w:rPr>
                      <w:rFonts w:hint="eastAsia" w:ascii="楷体" w:hAnsi="楷体" w:eastAsia="楷体"/>
                      <w:szCs w:val="21"/>
                      <w:lang w:eastAsia="zh-CN"/>
                    </w:rPr>
                    <w:t>（</w:t>
                  </w:r>
                  <w:r>
                    <w:rPr>
                      <w:rFonts w:hint="eastAsia" w:ascii="楷体" w:hAnsi="楷体" w:eastAsia="楷体"/>
                      <w:szCs w:val="21"/>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ascii="楷体" w:hAnsi="楷体" w:eastAsia="楷体"/>
                      <w:szCs w:val="21"/>
                    </w:rPr>
                  </w:pPr>
                  <w:r>
                    <w:rPr>
                      <w:rFonts w:hint="eastAsia" w:ascii="楷体" w:hAnsi="楷体" w:eastAsia="楷体"/>
                      <w:szCs w:val="21"/>
                    </w:rPr>
                    <w:t>1</w:t>
                  </w:r>
                </w:p>
              </w:tc>
              <w:tc>
                <w:tcPr>
                  <w:tcW w:w="1871" w:type="dxa"/>
                  <w:noWrap w:val="0"/>
                  <w:vAlign w:val="center"/>
                </w:tcPr>
                <w:p>
                  <w:pPr>
                    <w:jc w:val="center"/>
                    <w:rPr>
                      <w:rFonts w:hint="eastAsia" w:ascii="楷体" w:hAnsi="楷体" w:eastAsia="楷体"/>
                      <w:sz w:val="21"/>
                      <w:szCs w:val="21"/>
                      <w:lang w:eastAsia="zh-CN"/>
                    </w:rPr>
                  </w:pPr>
                  <w:r>
                    <w:rPr>
                      <w:rFonts w:hint="eastAsia" w:ascii="楷体" w:hAnsi="楷体" w:eastAsia="楷体"/>
                      <w:szCs w:val="21"/>
                      <w:lang w:eastAsia="zh-CN"/>
                    </w:rPr>
                    <w:t>2022年4月7日</w:t>
                  </w:r>
                </w:p>
              </w:tc>
              <w:tc>
                <w:tcPr>
                  <w:tcW w:w="1871" w:type="dxa"/>
                  <w:noWrap w:val="0"/>
                  <w:vAlign w:val="center"/>
                </w:tcPr>
                <w:p>
                  <w:pPr>
                    <w:jc w:val="center"/>
                    <w:rPr>
                      <w:rFonts w:hint="eastAsia" w:ascii="楷体" w:hAnsi="楷体" w:eastAsia="楷体"/>
                      <w:sz w:val="21"/>
                      <w:szCs w:val="21"/>
                      <w:lang w:eastAsia="zh-CN"/>
                    </w:rPr>
                  </w:pPr>
                  <w:r>
                    <w:rPr>
                      <w:rFonts w:hint="eastAsia" w:ascii="楷体" w:hAnsi="楷体" w:eastAsia="楷体"/>
                      <w:szCs w:val="21"/>
                      <w:lang w:eastAsia="zh-CN"/>
                    </w:rPr>
                    <w:t>2022年7月20日</w:t>
                  </w:r>
                </w:p>
              </w:tc>
              <w:tc>
                <w:tcPr>
                  <w:tcW w:w="1928" w:type="dxa"/>
                  <w:noWrap w:val="0"/>
                  <w:vAlign w:val="center"/>
                </w:tcPr>
                <w:p>
                  <w:pPr>
                    <w:jc w:val="center"/>
                    <w:rPr>
                      <w:rFonts w:ascii="楷体" w:hAnsi="楷体" w:eastAsia="楷体"/>
                      <w:szCs w:val="21"/>
                    </w:rPr>
                  </w:pPr>
                  <w:r>
                    <w:rPr>
                      <w:rFonts w:ascii="楷体" w:hAnsi="楷体" w:eastAsia="楷体" w:cs="宋体"/>
                      <w:spacing w:val="-2"/>
                      <w:szCs w:val="21"/>
                    </w:rPr>
                    <w:t>3.7</w:t>
                  </w:r>
                  <w:r>
                    <w:rPr>
                      <w:rFonts w:hint="eastAsia" w:ascii="楷体" w:hAnsi="楷体" w:eastAsia="楷体" w:cs="宋体"/>
                      <w:spacing w:val="-2"/>
                      <w:szCs w:val="21"/>
                      <w:lang w:val="en-US" w:eastAsia="zh-CN"/>
                    </w:rPr>
                    <w:t>0</w:t>
                  </w:r>
                  <w:r>
                    <w:rPr>
                      <w:rFonts w:hint="eastAsia" w:ascii="楷体" w:hAnsi="楷体" w:eastAsia="楷体" w:cs="宋体"/>
                      <w:spacing w:val="-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80" w:type="dxa"/>
                  <w:noWrap w:val="0"/>
                  <w:vAlign w:val="center"/>
                </w:tcPr>
                <w:p>
                  <w:pPr>
                    <w:jc w:val="center"/>
                    <w:rPr>
                      <w:rFonts w:ascii="楷体" w:hAnsi="楷体" w:eastAsia="楷体"/>
                      <w:szCs w:val="21"/>
                    </w:rPr>
                  </w:pPr>
                  <w:r>
                    <w:rPr>
                      <w:rFonts w:hint="eastAsia" w:ascii="楷体" w:hAnsi="楷体" w:eastAsia="楷体"/>
                      <w:szCs w:val="21"/>
                    </w:rPr>
                    <w:t>2</w:t>
                  </w:r>
                </w:p>
              </w:tc>
              <w:tc>
                <w:tcPr>
                  <w:tcW w:w="1871" w:type="dxa"/>
                  <w:noWrap w:val="0"/>
                  <w:vAlign w:val="center"/>
                </w:tcPr>
                <w:p>
                  <w:pPr>
                    <w:jc w:val="center"/>
                    <w:rPr>
                      <w:rFonts w:hint="eastAsia" w:ascii="楷体" w:hAnsi="楷体" w:eastAsia="楷体"/>
                      <w:sz w:val="21"/>
                      <w:szCs w:val="21"/>
                      <w:lang w:eastAsia="zh-CN"/>
                    </w:rPr>
                  </w:pPr>
                  <w:r>
                    <w:rPr>
                      <w:rFonts w:hint="eastAsia" w:ascii="楷体" w:hAnsi="楷体" w:eastAsia="楷体"/>
                      <w:szCs w:val="21"/>
                      <w:lang w:eastAsia="zh-CN"/>
                    </w:rPr>
                    <w:t>2022年7月21日</w:t>
                  </w:r>
                </w:p>
              </w:tc>
              <w:tc>
                <w:tcPr>
                  <w:tcW w:w="1871" w:type="dxa"/>
                  <w:noWrap w:val="0"/>
                  <w:vAlign w:val="center"/>
                </w:tcPr>
                <w:p>
                  <w:pPr>
                    <w:jc w:val="center"/>
                    <w:rPr>
                      <w:rFonts w:hint="eastAsia" w:ascii="楷体" w:hAnsi="楷体" w:eastAsia="楷体"/>
                      <w:sz w:val="21"/>
                      <w:szCs w:val="21"/>
                      <w:lang w:eastAsia="zh-CN"/>
                    </w:rPr>
                  </w:pPr>
                  <w:r>
                    <w:rPr>
                      <w:rFonts w:hint="eastAsia" w:ascii="楷体" w:hAnsi="楷体" w:eastAsia="楷体"/>
                      <w:szCs w:val="21"/>
                      <w:lang w:eastAsia="zh-CN"/>
                    </w:rPr>
                    <w:t>2022年11月1日</w:t>
                  </w:r>
                </w:p>
              </w:tc>
              <w:tc>
                <w:tcPr>
                  <w:tcW w:w="1928"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宋体"/>
                      <w:spacing w:val="-2"/>
                      <w:szCs w:val="21"/>
                    </w:rPr>
                  </w:pPr>
                  <w:r>
                    <w:rPr>
                      <w:rFonts w:hint="eastAsia" w:ascii="楷体" w:hAnsi="楷体" w:eastAsia="楷体" w:cs="宋体"/>
                      <w:spacing w:val="-2"/>
                      <w:szCs w:val="21"/>
                      <w:lang w:val="en-US" w:eastAsia="zh-CN"/>
                    </w:rPr>
                    <w:t>A份额</w:t>
                  </w:r>
                  <w:r>
                    <w:rPr>
                      <w:rFonts w:ascii="楷体" w:hAnsi="楷体" w:eastAsia="楷体" w:cs="宋体"/>
                      <w:spacing w:val="-2"/>
                      <w:szCs w:val="21"/>
                    </w:rPr>
                    <w:t>3.65</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C份额</w:t>
                  </w:r>
                  <w:r>
                    <w:rPr>
                      <w:rFonts w:ascii="楷体" w:hAnsi="楷体" w:eastAsia="楷体" w:cs="宋体"/>
                      <w:spacing w:val="-2"/>
                      <w:szCs w:val="21"/>
                    </w:rPr>
                    <w:t>3.75</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宋体"/>
                      <w:spacing w:val="-2"/>
                      <w:szCs w:val="21"/>
                    </w:rPr>
                  </w:pPr>
                  <w:r>
                    <w:rPr>
                      <w:rFonts w:hint="eastAsia" w:ascii="楷体" w:hAnsi="楷体" w:eastAsia="楷体" w:cs="宋体"/>
                      <w:spacing w:val="-2"/>
                      <w:szCs w:val="21"/>
                      <w:lang w:val="en-US" w:eastAsia="zh-CN"/>
                    </w:rPr>
                    <w:t>D份额</w:t>
                  </w:r>
                  <w:r>
                    <w:rPr>
                      <w:rFonts w:ascii="楷体" w:hAnsi="楷体" w:eastAsia="楷体" w:cs="宋体"/>
                      <w:spacing w:val="-2"/>
                      <w:szCs w:val="21"/>
                    </w:rPr>
                    <w:t>3.7</w:t>
                  </w:r>
                  <w:r>
                    <w:rPr>
                      <w:rFonts w:hint="eastAsia" w:ascii="楷体" w:hAnsi="楷体" w:eastAsia="楷体" w:cs="宋体"/>
                      <w:spacing w:val="-2"/>
                      <w:szCs w:val="21"/>
                      <w:lang w:val="en-US" w:eastAsia="zh-CN"/>
                    </w:rPr>
                    <w:t>0</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E份额</w:t>
                  </w:r>
                  <w:r>
                    <w:rPr>
                      <w:rFonts w:ascii="楷体" w:hAnsi="楷体" w:eastAsia="楷体" w:cs="宋体"/>
                      <w:spacing w:val="-2"/>
                      <w:szCs w:val="21"/>
                    </w:rPr>
                    <w:t>3.75</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cs="宋体"/>
                      <w:spacing w:val="-2"/>
                      <w:szCs w:val="21"/>
                      <w:lang w:val="en-US" w:eastAsia="zh-CN"/>
                    </w:rPr>
                  </w:pPr>
                  <w:r>
                    <w:rPr>
                      <w:rFonts w:hint="eastAsia" w:ascii="楷体" w:hAnsi="楷体" w:eastAsia="楷体" w:cs="宋体"/>
                      <w:spacing w:val="-2"/>
                      <w:szCs w:val="21"/>
                      <w:lang w:val="en-US" w:eastAsia="zh-CN"/>
                    </w:rPr>
                    <w:t>F份额</w:t>
                  </w:r>
                  <w:r>
                    <w:rPr>
                      <w:rFonts w:ascii="楷体" w:hAnsi="楷体" w:eastAsia="楷体" w:cs="宋体"/>
                      <w:spacing w:val="-2"/>
                      <w:szCs w:val="21"/>
                    </w:rPr>
                    <w:t>3.6</w:t>
                  </w:r>
                  <w:r>
                    <w:rPr>
                      <w:rFonts w:hint="eastAsia" w:ascii="楷体" w:hAnsi="楷体" w:eastAsia="楷体" w:cs="宋体"/>
                      <w:spacing w:val="-2"/>
                      <w:szCs w:val="21"/>
                      <w:lang w:val="en-US" w:eastAsia="zh-CN"/>
                    </w:rPr>
                    <w:t>5</w:t>
                  </w:r>
                  <w:r>
                    <w:rPr>
                      <w:rFonts w:hint="eastAsia" w:ascii="楷体" w:hAnsi="楷体" w:eastAsia="楷体" w:cs="宋体"/>
                      <w:spacing w:val="-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eastAsia" w:ascii="楷体" w:hAnsi="楷体" w:eastAsia="楷体"/>
                      <w:szCs w:val="21"/>
                      <w:lang w:val="en-US" w:eastAsia="zh-CN"/>
                    </w:rPr>
                  </w:pPr>
                  <w:r>
                    <w:rPr>
                      <w:rFonts w:hint="eastAsia" w:ascii="楷体" w:hAnsi="楷体" w:eastAsia="楷体"/>
                      <w:szCs w:val="21"/>
                      <w:lang w:val="en-US" w:eastAsia="zh-CN"/>
                    </w:rPr>
                    <w:t>3</w:t>
                  </w:r>
                </w:p>
              </w:tc>
              <w:tc>
                <w:tcPr>
                  <w:tcW w:w="1871" w:type="dxa"/>
                  <w:noWrap w:val="0"/>
                  <w:vAlign w:val="center"/>
                </w:tcPr>
                <w:p>
                  <w:pPr>
                    <w:jc w:val="center"/>
                    <w:rPr>
                      <w:rFonts w:hint="eastAsia" w:ascii="楷体" w:hAnsi="楷体" w:eastAsia="楷体"/>
                      <w:sz w:val="21"/>
                      <w:szCs w:val="21"/>
                      <w:lang w:eastAsia="zh-CN"/>
                    </w:rPr>
                  </w:pPr>
                  <w:r>
                    <w:rPr>
                      <w:rFonts w:hint="eastAsia" w:ascii="楷体" w:hAnsi="楷体" w:eastAsia="楷体"/>
                      <w:szCs w:val="21"/>
                      <w:lang w:eastAsia="zh-CN"/>
                    </w:rPr>
                    <w:t>2022年11月2日</w:t>
                  </w:r>
                </w:p>
              </w:tc>
              <w:tc>
                <w:tcPr>
                  <w:tcW w:w="1871" w:type="dxa"/>
                  <w:noWrap w:val="0"/>
                  <w:vAlign w:val="center"/>
                </w:tcPr>
                <w:p>
                  <w:pPr>
                    <w:jc w:val="center"/>
                    <w:rPr>
                      <w:rFonts w:hint="eastAsia" w:ascii="楷体" w:hAnsi="楷体" w:eastAsia="楷体"/>
                      <w:sz w:val="21"/>
                      <w:szCs w:val="21"/>
                      <w:lang w:eastAsia="zh-CN"/>
                    </w:rPr>
                  </w:pPr>
                  <w:r>
                    <w:rPr>
                      <w:rFonts w:hint="eastAsia" w:ascii="楷体" w:hAnsi="楷体" w:eastAsia="楷体"/>
                      <w:szCs w:val="21"/>
                      <w:lang w:eastAsia="zh-CN"/>
                    </w:rPr>
                    <w:t>2023年2月14日</w:t>
                  </w:r>
                </w:p>
              </w:tc>
              <w:tc>
                <w:tcPr>
                  <w:tcW w:w="1928"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宋体"/>
                      <w:spacing w:val="-2"/>
                      <w:szCs w:val="21"/>
                    </w:rPr>
                  </w:pPr>
                  <w:r>
                    <w:rPr>
                      <w:rFonts w:hint="eastAsia" w:ascii="楷体" w:hAnsi="楷体" w:eastAsia="楷体" w:cs="宋体"/>
                      <w:spacing w:val="-2"/>
                      <w:szCs w:val="21"/>
                      <w:lang w:val="en-US" w:eastAsia="zh-CN"/>
                    </w:rPr>
                    <w:t>A份额</w:t>
                  </w:r>
                  <w:r>
                    <w:rPr>
                      <w:rFonts w:ascii="楷体" w:hAnsi="楷体" w:eastAsia="楷体" w:cs="宋体"/>
                      <w:spacing w:val="-2"/>
                      <w:szCs w:val="21"/>
                    </w:rPr>
                    <w:t>3.6</w:t>
                  </w:r>
                  <w:r>
                    <w:rPr>
                      <w:rFonts w:hint="eastAsia" w:ascii="楷体" w:hAnsi="楷体" w:eastAsia="楷体" w:cs="宋体"/>
                      <w:spacing w:val="-2"/>
                      <w:szCs w:val="21"/>
                      <w:lang w:val="en-US" w:eastAsia="zh-CN"/>
                    </w:rPr>
                    <w:t>0</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C份额</w:t>
                  </w:r>
                  <w:r>
                    <w:rPr>
                      <w:rFonts w:ascii="楷体" w:hAnsi="楷体" w:eastAsia="楷体" w:cs="宋体"/>
                      <w:spacing w:val="-2"/>
                      <w:szCs w:val="21"/>
                    </w:rPr>
                    <w:t>3.7</w:t>
                  </w:r>
                  <w:r>
                    <w:rPr>
                      <w:rFonts w:hint="eastAsia" w:ascii="楷体" w:hAnsi="楷体" w:eastAsia="楷体" w:cs="宋体"/>
                      <w:spacing w:val="-2"/>
                      <w:szCs w:val="21"/>
                      <w:lang w:val="en-US" w:eastAsia="zh-CN"/>
                    </w:rPr>
                    <w:t>0</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宋体"/>
                      <w:spacing w:val="-2"/>
                      <w:szCs w:val="21"/>
                    </w:rPr>
                  </w:pPr>
                  <w:r>
                    <w:rPr>
                      <w:rFonts w:hint="eastAsia" w:ascii="楷体" w:hAnsi="楷体" w:eastAsia="楷体" w:cs="宋体"/>
                      <w:spacing w:val="-2"/>
                      <w:szCs w:val="21"/>
                      <w:lang w:val="en-US" w:eastAsia="zh-CN"/>
                    </w:rPr>
                    <w:t>D份额</w:t>
                  </w:r>
                  <w:r>
                    <w:rPr>
                      <w:rFonts w:ascii="楷体" w:hAnsi="楷体" w:eastAsia="楷体" w:cs="宋体"/>
                      <w:spacing w:val="-2"/>
                      <w:szCs w:val="21"/>
                    </w:rPr>
                    <w:t>3.</w:t>
                  </w:r>
                  <w:r>
                    <w:rPr>
                      <w:rFonts w:hint="eastAsia" w:ascii="楷体" w:hAnsi="楷体" w:eastAsia="楷体" w:cs="宋体"/>
                      <w:spacing w:val="-2"/>
                      <w:szCs w:val="21"/>
                      <w:lang w:val="en-US" w:eastAsia="zh-CN"/>
                    </w:rPr>
                    <w:t>65</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E份额</w:t>
                  </w:r>
                  <w:r>
                    <w:rPr>
                      <w:rFonts w:ascii="楷体" w:hAnsi="楷体" w:eastAsia="楷体" w:cs="宋体"/>
                      <w:spacing w:val="-2"/>
                      <w:szCs w:val="21"/>
                    </w:rPr>
                    <w:t>3.7</w:t>
                  </w:r>
                  <w:r>
                    <w:rPr>
                      <w:rFonts w:hint="eastAsia" w:ascii="楷体" w:hAnsi="楷体" w:eastAsia="楷体" w:cs="宋体"/>
                      <w:spacing w:val="-2"/>
                      <w:szCs w:val="21"/>
                      <w:lang w:val="en-US" w:eastAsia="zh-CN"/>
                    </w:rPr>
                    <w:t>0</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F份额</w:t>
                  </w:r>
                  <w:r>
                    <w:rPr>
                      <w:rFonts w:ascii="楷体" w:hAnsi="楷体" w:eastAsia="楷体" w:cs="宋体"/>
                      <w:spacing w:val="-2"/>
                      <w:szCs w:val="21"/>
                    </w:rPr>
                    <w:t>3.6</w:t>
                  </w:r>
                  <w:r>
                    <w:rPr>
                      <w:rFonts w:hint="eastAsia" w:ascii="楷体" w:hAnsi="楷体" w:eastAsia="楷体" w:cs="宋体"/>
                      <w:spacing w:val="-2"/>
                      <w:szCs w:val="21"/>
                      <w:lang w:val="en-US" w:eastAsia="zh-CN"/>
                    </w:rPr>
                    <w:t>0</w:t>
                  </w:r>
                  <w:r>
                    <w:rPr>
                      <w:rFonts w:hint="eastAsia" w:ascii="楷体" w:hAnsi="楷体" w:eastAsia="楷体" w:cs="宋体"/>
                      <w:spacing w:val="-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680" w:type="dxa"/>
                  <w:noWrap w:val="0"/>
                  <w:vAlign w:val="center"/>
                </w:tcPr>
                <w:p>
                  <w:pPr>
                    <w:jc w:val="center"/>
                    <w:rPr>
                      <w:rFonts w:hint="default" w:ascii="楷体" w:hAnsi="楷体" w:eastAsia="楷体"/>
                      <w:szCs w:val="21"/>
                      <w:lang w:val="en-US" w:eastAsia="zh-CN"/>
                    </w:rPr>
                  </w:pPr>
                  <w:r>
                    <w:rPr>
                      <w:rFonts w:hint="eastAsia" w:ascii="楷体" w:hAnsi="楷体" w:eastAsia="楷体"/>
                      <w:szCs w:val="21"/>
                      <w:lang w:val="en-US" w:eastAsia="zh-CN"/>
                    </w:rPr>
                    <w:t>4</w:t>
                  </w:r>
                </w:p>
              </w:tc>
              <w:tc>
                <w:tcPr>
                  <w:tcW w:w="1871" w:type="dxa"/>
                  <w:noWrap w:val="0"/>
                  <w:vAlign w:val="center"/>
                </w:tcPr>
                <w:p>
                  <w:pPr>
                    <w:jc w:val="center"/>
                    <w:rPr>
                      <w:rFonts w:hint="eastAsia" w:ascii="楷体" w:hAnsi="楷体" w:eastAsia="楷体"/>
                      <w:sz w:val="21"/>
                      <w:szCs w:val="21"/>
                      <w:lang w:eastAsia="zh-CN"/>
                    </w:rPr>
                  </w:pPr>
                  <w:r>
                    <w:rPr>
                      <w:rFonts w:hint="eastAsia" w:ascii="楷体" w:hAnsi="楷体" w:eastAsia="楷体"/>
                      <w:sz w:val="21"/>
                      <w:szCs w:val="21"/>
                      <w:lang w:eastAsia="zh-CN"/>
                    </w:rPr>
                    <w:t>2023年2月15日</w:t>
                  </w:r>
                </w:p>
              </w:tc>
              <w:tc>
                <w:tcPr>
                  <w:tcW w:w="1871" w:type="dxa"/>
                  <w:noWrap w:val="0"/>
                  <w:vAlign w:val="center"/>
                </w:tcPr>
                <w:p>
                  <w:pPr>
                    <w:jc w:val="center"/>
                    <w:rPr>
                      <w:rFonts w:hint="default" w:ascii="楷体" w:hAnsi="楷体" w:eastAsia="楷体"/>
                      <w:sz w:val="21"/>
                      <w:szCs w:val="21"/>
                      <w:lang w:val="en-US" w:eastAsia="zh-CN"/>
                    </w:rPr>
                  </w:pPr>
                  <w:r>
                    <w:rPr>
                      <w:rFonts w:hint="eastAsia" w:ascii="楷体" w:hAnsi="楷体" w:eastAsia="楷体"/>
                      <w:sz w:val="21"/>
                      <w:szCs w:val="21"/>
                      <w:lang w:val="en-US" w:eastAsia="zh-CN"/>
                    </w:rPr>
                    <w:t>2023年5月25日</w:t>
                  </w:r>
                </w:p>
              </w:tc>
              <w:tc>
                <w:tcPr>
                  <w:tcW w:w="1928"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rPr>
                  </w:pPr>
                  <w:r>
                    <w:rPr>
                      <w:rFonts w:hint="eastAsia" w:ascii="楷体" w:hAnsi="楷体" w:eastAsia="楷体" w:cs="宋体"/>
                      <w:spacing w:val="-2"/>
                      <w:szCs w:val="21"/>
                      <w:lang w:val="en-US" w:eastAsia="zh-CN"/>
                    </w:rPr>
                    <w:t>A份额2.70%-</w:t>
                  </w:r>
                  <w:r>
                    <w:rPr>
                      <w:rFonts w:ascii="楷体" w:hAnsi="楷体" w:eastAsia="楷体" w:cs="宋体"/>
                      <w:spacing w:val="-2"/>
                      <w:szCs w:val="21"/>
                    </w:rPr>
                    <w:t>3.6</w:t>
                  </w:r>
                  <w:r>
                    <w:rPr>
                      <w:rFonts w:hint="eastAsia" w:ascii="楷体" w:hAnsi="楷体" w:eastAsia="楷体" w:cs="宋体"/>
                      <w:spacing w:val="-2"/>
                      <w:szCs w:val="21"/>
                      <w:lang w:val="en-US" w:eastAsia="zh-CN"/>
                    </w:rPr>
                    <w:t>0</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C份额2.80%-</w:t>
                  </w:r>
                  <w:r>
                    <w:rPr>
                      <w:rFonts w:ascii="楷体" w:hAnsi="楷体" w:eastAsia="楷体" w:cs="宋体"/>
                      <w:spacing w:val="-2"/>
                      <w:szCs w:val="21"/>
                    </w:rPr>
                    <w:t>3.</w:t>
                  </w:r>
                  <w:r>
                    <w:rPr>
                      <w:rFonts w:hint="eastAsia" w:ascii="楷体" w:hAnsi="楷体" w:eastAsia="楷体" w:cs="宋体"/>
                      <w:spacing w:val="-2"/>
                      <w:szCs w:val="21"/>
                      <w:lang w:val="en-US" w:eastAsia="zh-CN"/>
                    </w:rPr>
                    <w:t>70</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rPr>
                  </w:pPr>
                  <w:r>
                    <w:rPr>
                      <w:rFonts w:hint="eastAsia" w:ascii="楷体" w:hAnsi="楷体" w:eastAsia="楷体" w:cs="宋体"/>
                      <w:spacing w:val="-2"/>
                      <w:szCs w:val="21"/>
                      <w:lang w:val="en-US" w:eastAsia="zh-CN"/>
                    </w:rPr>
                    <w:t>D份额2.75%-</w:t>
                  </w:r>
                  <w:r>
                    <w:rPr>
                      <w:rFonts w:ascii="楷体" w:hAnsi="楷体" w:eastAsia="楷体" w:cs="宋体"/>
                      <w:spacing w:val="-2"/>
                      <w:szCs w:val="21"/>
                    </w:rPr>
                    <w:t>3.6</w:t>
                  </w:r>
                  <w:r>
                    <w:rPr>
                      <w:rFonts w:hint="eastAsia" w:ascii="楷体" w:hAnsi="楷体" w:eastAsia="楷体" w:cs="宋体"/>
                      <w:spacing w:val="-2"/>
                      <w:szCs w:val="21"/>
                      <w:lang w:val="en-US" w:eastAsia="zh-CN"/>
                    </w:rPr>
                    <w:t>5</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rPr>
                  </w:pPr>
                  <w:r>
                    <w:rPr>
                      <w:rFonts w:hint="eastAsia" w:ascii="楷体" w:hAnsi="楷体" w:eastAsia="楷体" w:cs="宋体"/>
                      <w:spacing w:val="-2"/>
                      <w:szCs w:val="21"/>
                      <w:lang w:val="en-US" w:eastAsia="zh-CN"/>
                    </w:rPr>
                    <w:t>E份额2.80%-</w:t>
                  </w:r>
                  <w:r>
                    <w:rPr>
                      <w:rFonts w:ascii="楷体" w:hAnsi="楷体" w:eastAsia="楷体" w:cs="宋体"/>
                      <w:spacing w:val="-2"/>
                      <w:szCs w:val="21"/>
                    </w:rPr>
                    <w:t>3.</w:t>
                  </w:r>
                  <w:r>
                    <w:rPr>
                      <w:rFonts w:hint="eastAsia" w:ascii="楷体" w:hAnsi="楷体" w:eastAsia="楷体" w:cs="宋体"/>
                      <w:spacing w:val="-2"/>
                      <w:szCs w:val="21"/>
                      <w:lang w:val="en-US" w:eastAsia="zh-CN"/>
                    </w:rPr>
                    <w:t>70</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F份额2.70%-</w:t>
                  </w:r>
                  <w:r>
                    <w:rPr>
                      <w:rFonts w:ascii="楷体" w:hAnsi="楷体" w:eastAsia="楷体" w:cs="宋体"/>
                      <w:spacing w:val="-2"/>
                      <w:szCs w:val="21"/>
                    </w:rPr>
                    <w:t>3.6</w:t>
                  </w:r>
                  <w:r>
                    <w:rPr>
                      <w:rFonts w:hint="eastAsia" w:ascii="楷体" w:hAnsi="楷体" w:eastAsia="楷体" w:cs="宋体"/>
                      <w:spacing w:val="-2"/>
                      <w:szCs w:val="21"/>
                      <w:lang w:val="en-US" w:eastAsia="zh-CN"/>
                    </w:rPr>
                    <w:t>0</w:t>
                  </w:r>
                  <w:r>
                    <w:rPr>
                      <w:rFonts w:hint="eastAsia" w:ascii="楷体" w:hAnsi="楷体" w:eastAsia="楷体" w:cs="宋体"/>
                      <w:spacing w:val="-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default" w:ascii="楷体" w:hAnsi="楷体" w:eastAsia="楷体"/>
                      <w:szCs w:val="21"/>
                      <w:lang w:val="en-US" w:eastAsia="zh-CN"/>
                    </w:rPr>
                  </w:pPr>
                  <w:r>
                    <w:rPr>
                      <w:rFonts w:hint="eastAsia" w:ascii="楷体" w:hAnsi="楷体" w:eastAsia="楷体"/>
                      <w:szCs w:val="21"/>
                      <w:lang w:val="en-US" w:eastAsia="zh-CN"/>
                    </w:rPr>
                    <w:t>5</w:t>
                  </w:r>
                </w:p>
              </w:tc>
              <w:tc>
                <w:tcPr>
                  <w:tcW w:w="1871" w:type="dxa"/>
                  <w:noWrap w:val="0"/>
                  <w:vAlign w:val="center"/>
                </w:tcPr>
                <w:p>
                  <w:pPr>
                    <w:jc w:val="center"/>
                    <w:rPr>
                      <w:rFonts w:hint="eastAsia" w:ascii="楷体" w:hAnsi="楷体" w:eastAsia="楷体"/>
                      <w:sz w:val="21"/>
                      <w:szCs w:val="21"/>
                      <w:lang w:eastAsia="zh-CN"/>
                    </w:rPr>
                  </w:pPr>
                  <w:r>
                    <w:rPr>
                      <w:rFonts w:hint="eastAsia" w:ascii="楷体" w:hAnsi="楷体" w:eastAsia="楷体"/>
                      <w:sz w:val="21"/>
                      <w:szCs w:val="21"/>
                      <w:lang w:val="en-US" w:eastAsia="zh-CN"/>
                    </w:rPr>
                    <w:t>2023年5月26日</w:t>
                  </w:r>
                </w:p>
              </w:tc>
              <w:tc>
                <w:tcPr>
                  <w:tcW w:w="1871"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2023年8月31日</w:t>
                  </w:r>
                </w:p>
              </w:tc>
              <w:tc>
                <w:tcPr>
                  <w:tcW w:w="1928"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default" w:ascii="楷体" w:hAnsi="楷体" w:eastAsia="楷体"/>
                      <w:szCs w:val="21"/>
                      <w:lang w:val="en-US" w:eastAsia="zh-CN"/>
                    </w:rPr>
                  </w:pPr>
                  <w:r>
                    <w:rPr>
                      <w:rFonts w:hint="eastAsia" w:ascii="楷体" w:hAnsi="楷体" w:eastAsia="楷体"/>
                      <w:szCs w:val="21"/>
                      <w:lang w:val="en-US" w:eastAsia="zh-CN"/>
                    </w:rPr>
                    <w:t>6</w:t>
                  </w:r>
                </w:p>
              </w:tc>
              <w:tc>
                <w:tcPr>
                  <w:tcW w:w="1871"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2023年9月1日</w:t>
                  </w:r>
                </w:p>
              </w:tc>
              <w:tc>
                <w:tcPr>
                  <w:tcW w:w="1871"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2023年12月12日</w:t>
                  </w:r>
                </w:p>
              </w:tc>
              <w:tc>
                <w:tcPr>
                  <w:tcW w:w="1928"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rPr>
                  </w:pPr>
                  <w:r>
                    <w:rPr>
                      <w:rFonts w:hint="eastAsia" w:ascii="楷体" w:hAnsi="楷体" w:eastAsia="楷体" w:cs="宋体"/>
                      <w:spacing w:val="-2"/>
                      <w:szCs w:val="21"/>
                      <w:lang w:val="en-US" w:eastAsia="zh-CN"/>
                    </w:rPr>
                    <w:t>A份额2.70%-</w:t>
                  </w:r>
                  <w:r>
                    <w:rPr>
                      <w:rFonts w:ascii="楷体" w:hAnsi="楷体" w:eastAsia="楷体" w:cs="宋体"/>
                      <w:spacing w:val="-2"/>
                      <w:szCs w:val="21"/>
                    </w:rPr>
                    <w:t>3.6</w:t>
                  </w:r>
                  <w:r>
                    <w:rPr>
                      <w:rFonts w:hint="eastAsia" w:ascii="楷体" w:hAnsi="楷体" w:eastAsia="楷体" w:cs="宋体"/>
                      <w:spacing w:val="-2"/>
                      <w:szCs w:val="21"/>
                      <w:lang w:val="en-US" w:eastAsia="zh-CN"/>
                    </w:rPr>
                    <w:t>0</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C份额2.80%-</w:t>
                  </w:r>
                  <w:r>
                    <w:rPr>
                      <w:rFonts w:ascii="楷体" w:hAnsi="楷体" w:eastAsia="楷体" w:cs="宋体"/>
                      <w:spacing w:val="-2"/>
                      <w:szCs w:val="21"/>
                    </w:rPr>
                    <w:t>3.</w:t>
                  </w:r>
                  <w:r>
                    <w:rPr>
                      <w:rFonts w:hint="eastAsia" w:ascii="楷体" w:hAnsi="楷体" w:eastAsia="楷体" w:cs="宋体"/>
                      <w:spacing w:val="-2"/>
                      <w:szCs w:val="21"/>
                      <w:lang w:val="en-US" w:eastAsia="zh-CN"/>
                    </w:rPr>
                    <w:t>70</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rPr>
                  </w:pPr>
                  <w:r>
                    <w:rPr>
                      <w:rFonts w:hint="eastAsia" w:ascii="楷体" w:hAnsi="楷体" w:eastAsia="楷体" w:cs="宋体"/>
                      <w:spacing w:val="-2"/>
                      <w:szCs w:val="21"/>
                      <w:lang w:val="en-US" w:eastAsia="zh-CN"/>
                    </w:rPr>
                    <w:t>D份额2.85%-</w:t>
                  </w:r>
                  <w:r>
                    <w:rPr>
                      <w:rFonts w:ascii="楷体" w:hAnsi="楷体" w:eastAsia="楷体" w:cs="宋体"/>
                      <w:spacing w:val="-2"/>
                      <w:szCs w:val="21"/>
                    </w:rPr>
                    <w:t>3.</w:t>
                  </w:r>
                  <w:r>
                    <w:rPr>
                      <w:rFonts w:hint="eastAsia" w:ascii="楷体" w:hAnsi="楷体" w:eastAsia="楷体" w:cs="宋体"/>
                      <w:spacing w:val="-2"/>
                      <w:szCs w:val="21"/>
                      <w:lang w:val="en-US" w:eastAsia="zh-CN"/>
                    </w:rPr>
                    <w:t>75</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rPr>
                  </w:pPr>
                  <w:r>
                    <w:rPr>
                      <w:rFonts w:hint="eastAsia" w:ascii="楷体" w:hAnsi="楷体" w:eastAsia="楷体" w:cs="宋体"/>
                      <w:spacing w:val="-2"/>
                      <w:szCs w:val="21"/>
                      <w:lang w:val="en-US" w:eastAsia="zh-CN"/>
                    </w:rPr>
                    <w:t>E份额2.95%-</w:t>
                  </w:r>
                  <w:r>
                    <w:rPr>
                      <w:rFonts w:ascii="楷体" w:hAnsi="楷体" w:eastAsia="楷体" w:cs="宋体"/>
                      <w:spacing w:val="-2"/>
                      <w:szCs w:val="21"/>
                    </w:rPr>
                    <w:t>3.</w:t>
                  </w:r>
                  <w:r>
                    <w:rPr>
                      <w:rFonts w:hint="eastAsia" w:ascii="楷体" w:hAnsi="楷体" w:eastAsia="楷体" w:cs="宋体"/>
                      <w:spacing w:val="-2"/>
                      <w:szCs w:val="21"/>
                      <w:lang w:val="en-US" w:eastAsia="zh-CN"/>
                    </w:rPr>
                    <w:t>85</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F份额2.70%-</w:t>
                  </w:r>
                  <w:r>
                    <w:rPr>
                      <w:rFonts w:ascii="楷体" w:hAnsi="楷体" w:eastAsia="楷体" w:cs="宋体"/>
                      <w:spacing w:val="-2"/>
                      <w:szCs w:val="21"/>
                    </w:rPr>
                    <w:t>3.6</w:t>
                  </w:r>
                  <w:r>
                    <w:rPr>
                      <w:rFonts w:hint="eastAsia" w:ascii="楷体" w:hAnsi="楷体" w:eastAsia="楷体" w:cs="宋体"/>
                      <w:spacing w:val="-2"/>
                      <w:szCs w:val="21"/>
                      <w:lang w:val="en-US" w:eastAsia="zh-CN"/>
                    </w:rPr>
                    <w:t>0</w:t>
                  </w:r>
                  <w:r>
                    <w:rPr>
                      <w:rFonts w:hint="eastAsia" w:ascii="楷体" w:hAnsi="楷体" w:eastAsia="楷体" w:cs="宋体"/>
                      <w:spacing w:val="-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jc w:val="center"/>
              </w:trPr>
              <w:tc>
                <w:tcPr>
                  <w:tcW w:w="680" w:type="dxa"/>
                  <w:noWrap w:val="0"/>
                  <w:vAlign w:val="center"/>
                </w:tcPr>
                <w:p>
                  <w:pPr>
                    <w:jc w:val="center"/>
                    <w:rPr>
                      <w:rFonts w:hint="default" w:ascii="楷体" w:hAnsi="楷体" w:eastAsia="楷体"/>
                      <w:szCs w:val="21"/>
                      <w:lang w:val="en-US" w:eastAsia="zh-CN"/>
                    </w:rPr>
                  </w:pPr>
                  <w:r>
                    <w:rPr>
                      <w:rFonts w:hint="eastAsia" w:ascii="楷体" w:hAnsi="楷体" w:eastAsia="楷体"/>
                      <w:szCs w:val="21"/>
                      <w:lang w:val="en-US" w:eastAsia="zh-CN"/>
                    </w:rPr>
                    <w:t>7</w:t>
                  </w:r>
                </w:p>
              </w:tc>
              <w:tc>
                <w:tcPr>
                  <w:tcW w:w="1871"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2023年12月13日</w:t>
                  </w:r>
                </w:p>
              </w:tc>
              <w:tc>
                <w:tcPr>
                  <w:tcW w:w="1871" w:type="dxa"/>
                  <w:noWrap w:val="0"/>
                  <w:vAlign w:val="center"/>
                </w:tcPr>
                <w:p>
                  <w:pPr>
                    <w:jc w:val="center"/>
                    <w:rPr>
                      <w:rFonts w:hint="default" w:ascii="楷体" w:hAnsi="楷体" w:eastAsia="楷体"/>
                      <w:sz w:val="21"/>
                      <w:szCs w:val="21"/>
                      <w:lang w:val="en-US" w:eastAsia="zh-CN"/>
                    </w:rPr>
                  </w:pPr>
                  <w:r>
                    <w:rPr>
                      <w:rFonts w:hint="eastAsia" w:ascii="楷体" w:hAnsi="楷体" w:eastAsia="楷体"/>
                      <w:sz w:val="21"/>
                      <w:szCs w:val="21"/>
                      <w:lang w:val="en-US" w:eastAsia="zh-CN"/>
                    </w:rPr>
                    <w:t>2024年3月21日</w:t>
                  </w:r>
                </w:p>
              </w:tc>
              <w:tc>
                <w:tcPr>
                  <w:tcW w:w="1928"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rPr>
                  </w:pPr>
                  <w:r>
                    <w:rPr>
                      <w:rFonts w:hint="eastAsia" w:ascii="楷体" w:hAnsi="楷体" w:eastAsia="楷体" w:cs="宋体"/>
                      <w:spacing w:val="-2"/>
                      <w:szCs w:val="21"/>
                      <w:lang w:val="en-US" w:eastAsia="zh-CN"/>
                    </w:rPr>
                    <w:t>A份额2.70%-</w:t>
                  </w:r>
                  <w:r>
                    <w:rPr>
                      <w:rFonts w:ascii="楷体" w:hAnsi="楷体" w:eastAsia="楷体" w:cs="宋体"/>
                      <w:spacing w:val="-2"/>
                      <w:szCs w:val="21"/>
                    </w:rPr>
                    <w:t>3.6</w:t>
                  </w:r>
                  <w:r>
                    <w:rPr>
                      <w:rFonts w:hint="eastAsia" w:ascii="楷体" w:hAnsi="楷体" w:eastAsia="楷体" w:cs="宋体"/>
                      <w:spacing w:val="-2"/>
                      <w:szCs w:val="21"/>
                      <w:lang w:val="en-US" w:eastAsia="zh-CN"/>
                    </w:rPr>
                    <w:t>0</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C份额2.80%-</w:t>
                  </w:r>
                  <w:r>
                    <w:rPr>
                      <w:rFonts w:ascii="楷体" w:hAnsi="楷体" w:eastAsia="楷体" w:cs="宋体"/>
                      <w:spacing w:val="-2"/>
                      <w:szCs w:val="21"/>
                    </w:rPr>
                    <w:t>3.</w:t>
                  </w:r>
                  <w:r>
                    <w:rPr>
                      <w:rFonts w:hint="eastAsia" w:ascii="楷体" w:hAnsi="楷体" w:eastAsia="楷体" w:cs="宋体"/>
                      <w:spacing w:val="-2"/>
                      <w:szCs w:val="21"/>
                      <w:lang w:val="en-US" w:eastAsia="zh-CN"/>
                    </w:rPr>
                    <w:t>70</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rPr>
                  </w:pPr>
                  <w:r>
                    <w:rPr>
                      <w:rFonts w:hint="eastAsia" w:ascii="楷体" w:hAnsi="楷体" w:eastAsia="楷体" w:cs="宋体"/>
                      <w:spacing w:val="-2"/>
                      <w:szCs w:val="21"/>
                      <w:lang w:val="en-US" w:eastAsia="zh-CN"/>
                    </w:rPr>
                    <w:t>D份额2.85%-</w:t>
                  </w:r>
                  <w:r>
                    <w:rPr>
                      <w:rFonts w:ascii="楷体" w:hAnsi="楷体" w:eastAsia="楷体" w:cs="宋体"/>
                      <w:spacing w:val="-2"/>
                      <w:szCs w:val="21"/>
                    </w:rPr>
                    <w:t>3.</w:t>
                  </w:r>
                  <w:r>
                    <w:rPr>
                      <w:rFonts w:hint="eastAsia" w:ascii="楷体" w:hAnsi="楷体" w:eastAsia="楷体" w:cs="宋体"/>
                      <w:spacing w:val="-2"/>
                      <w:szCs w:val="21"/>
                      <w:lang w:val="en-US" w:eastAsia="zh-CN"/>
                    </w:rPr>
                    <w:t>75</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rPr>
                  </w:pPr>
                  <w:r>
                    <w:rPr>
                      <w:rFonts w:hint="eastAsia" w:ascii="楷体" w:hAnsi="楷体" w:eastAsia="楷体" w:cs="宋体"/>
                      <w:spacing w:val="-2"/>
                      <w:szCs w:val="21"/>
                      <w:lang w:val="en-US" w:eastAsia="zh-CN"/>
                    </w:rPr>
                    <w:t>E份额2.95%-</w:t>
                  </w:r>
                  <w:r>
                    <w:rPr>
                      <w:rFonts w:ascii="楷体" w:hAnsi="楷体" w:eastAsia="楷体" w:cs="宋体"/>
                      <w:spacing w:val="-2"/>
                      <w:szCs w:val="21"/>
                    </w:rPr>
                    <w:t>3.</w:t>
                  </w:r>
                  <w:r>
                    <w:rPr>
                      <w:rFonts w:hint="eastAsia" w:ascii="楷体" w:hAnsi="楷体" w:eastAsia="楷体" w:cs="宋体"/>
                      <w:spacing w:val="-2"/>
                      <w:szCs w:val="21"/>
                      <w:lang w:val="en-US" w:eastAsia="zh-CN"/>
                    </w:rPr>
                    <w:t>85</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rPr>
                  </w:pPr>
                  <w:r>
                    <w:rPr>
                      <w:rFonts w:hint="eastAsia" w:ascii="楷体" w:hAnsi="楷体" w:eastAsia="楷体" w:cs="宋体"/>
                      <w:spacing w:val="-2"/>
                      <w:szCs w:val="21"/>
                      <w:lang w:val="en-US" w:eastAsia="zh-CN"/>
                    </w:rPr>
                    <w:t>F份额2.70%-</w:t>
                  </w:r>
                  <w:r>
                    <w:rPr>
                      <w:rFonts w:ascii="楷体" w:hAnsi="楷体" w:eastAsia="楷体" w:cs="宋体"/>
                      <w:spacing w:val="-2"/>
                      <w:szCs w:val="21"/>
                    </w:rPr>
                    <w:t>3.6</w:t>
                  </w:r>
                  <w:r>
                    <w:rPr>
                      <w:rFonts w:hint="eastAsia" w:ascii="楷体" w:hAnsi="楷体" w:eastAsia="楷体" w:cs="宋体"/>
                      <w:spacing w:val="-2"/>
                      <w:szCs w:val="21"/>
                      <w:lang w:val="en-US" w:eastAsia="zh-CN"/>
                    </w:rPr>
                    <w:t>0</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W份额2.70%-</w:t>
                  </w:r>
                  <w:r>
                    <w:rPr>
                      <w:rFonts w:ascii="楷体" w:hAnsi="楷体" w:eastAsia="楷体" w:cs="宋体"/>
                      <w:spacing w:val="-2"/>
                      <w:szCs w:val="21"/>
                    </w:rPr>
                    <w:t>3.6</w:t>
                  </w:r>
                  <w:r>
                    <w:rPr>
                      <w:rFonts w:hint="eastAsia" w:ascii="楷体" w:hAnsi="楷体" w:eastAsia="楷体" w:cs="宋体"/>
                      <w:spacing w:val="-2"/>
                      <w:szCs w:val="21"/>
                      <w:lang w:val="en-US" w:eastAsia="zh-CN"/>
                    </w:rPr>
                    <w:t>0</w:t>
                  </w:r>
                  <w:r>
                    <w:rPr>
                      <w:rFonts w:hint="eastAsia" w:ascii="楷体" w:hAnsi="楷体" w:eastAsia="楷体" w:cs="宋体"/>
                      <w:spacing w:val="-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default" w:ascii="楷体" w:hAnsi="楷体" w:eastAsia="楷体"/>
                      <w:szCs w:val="21"/>
                      <w:lang w:val="en-US" w:eastAsia="zh-CN"/>
                    </w:rPr>
                  </w:pPr>
                  <w:r>
                    <w:rPr>
                      <w:rFonts w:hint="eastAsia" w:ascii="楷体" w:hAnsi="楷体" w:eastAsia="楷体"/>
                      <w:szCs w:val="21"/>
                      <w:lang w:val="en-US" w:eastAsia="zh-CN"/>
                    </w:rPr>
                    <w:t>8</w:t>
                  </w:r>
                </w:p>
              </w:tc>
              <w:tc>
                <w:tcPr>
                  <w:tcW w:w="1871"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2024年3月22日</w:t>
                  </w:r>
                </w:p>
              </w:tc>
              <w:tc>
                <w:tcPr>
                  <w:tcW w:w="1871"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2024年7月2日</w:t>
                  </w:r>
                </w:p>
              </w:tc>
              <w:tc>
                <w:tcPr>
                  <w:tcW w:w="1928"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default" w:ascii="楷体" w:hAnsi="楷体" w:eastAsia="楷体"/>
                      <w:szCs w:val="21"/>
                      <w:lang w:val="en-US" w:eastAsia="zh-CN"/>
                    </w:rPr>
                  </w:pPr>
                  <w:r>
                    <w:rPr>
                      <w:rFonts w:hint="eastAsia" w:ascii="楷体" w:hAnsi="楷体" w:eastAsia="楷体"/>
                      <w:szCs w:val="21"/>
                      <w:lang w:val="en-US" w:eastAsia="zh-CN"/>
                    </w:rPr>
                    <w:t>9</w:t>
                  </w:r>
                </w:p>
              </w:tc>
              <w:tc>
                <w:tcPr>
                  <w:tcW w:w="1871"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2024年7月3日</w:t>
                  </w:r>
                </w:p>
              </w:tc>
              <w:tc>
                <w:tcPr>
                  <w:tcW w:w="1871"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2024年10月9日</w:t>
                  </w:r>
                </w:p>
              </w:tc>
              <w:tc>
                <w:tcPr>
                  <w:tcW w:w="1928"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A份额2.50%-3.30%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C份额2.60%-3.40%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D份额2.65%-3.45%</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E份额2.75%-3.55%</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F份额2.50%-3.30%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W份额2.50%-3.30%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eastAsia" w:ascii="楷体" w:hAnsi="楷体" w:eastAsia="楷体"/>
                      <w:kern w:val="2"/>
                      <w:sz w:val="21"/>
                      <w:szCs w:val="21"/>
                      <w:lang w:val="en-US" w:eastAsia="zh-CN" w:bidi="ar-SA"/>
                    </w:rPr>
                  </w:pPr>
                  <w:r>
                    <w:rPr>
                      <w:rFonts w:hint="eastAsia" w:ascii="楷体" w:hAnsi="楷体" w:eastAsia="楷体"/>
                      <w:szCs w:val="21"/>
                      <w:lang w:val="en-US" w:eastAsia="zh-CN"/>
                    </w:rPr>
                    <w:t>10</w:t>
                  </w:r>
                </w:p>
              </w:tc>
              <w:tc>
                <w:tcPr>
                  <w:tcW w:w="1871" w:type="dxa"/>
                  <w:noWrap w:val="0"/>
                  <w:vAlign w:val="center"/>
                </w:tcPr>
                <w:p>
                  <w:pPr>
                    <w:jc w:val="center"/>
                    <w:rPr>
                      <w:rFonts w:hint="eastAsia" w:ascii="楷体" w:hAnsi="楷体" w:eastAsia="楷体"/>
                      <w:kern w:val="2"/>
                      <w:sz w:val="21"/>
                      <w:szCs w:val="21"/>
                      <w:lang w:val="en-US" w:eastAsia="zh-CN" w:bidi="ar-SA"/>
                    </w:rPr>
                  </w:pPr>
                  <w:r>
                    <w:rPr>
                      <w:rFonts w:hint="eastAsia" w:ascii="楷体" w:hAnsi="楷体" w:eastAsia="楷体"/>
                      <w:sz w:val="21"/>
                      <w:szCs w:val="21"/>
                      <w:lang w:val="en-US" w:eastAsia="zh-CN"/>
                    </w:rPr>
                    <w:t>2024年10月10日</w:t>
                  </w:r>
                </w:p>
              </w:tc>
              <w:tc>
                <w:tcPr>
                  <w:tcW w:w="1871" w:type="dxa"/>
                  <w:noWrap w:val="0"/>
                  <w:vAlign w:val="center"/>
                </w:tcPr>
                <w:p>
                  <w:pPr>
                    <w:jc w:val="center"/>
                    <w:rPr>
                      <w:rFonts w:hint="eastAsia" w:ascii="楷体" w:hAnsi="楷体" w:eastAsia="楷体"/>
                      <w:kern w:val="2"/>
                      <w:sz w:val="21"/>
                      <w:szCs w:val="21"/>
                      <w:lang w:val="en-US" w:eastAsia="zh-CN" w:bidi="ar-SA"/>
                    </w:rPr>
                  </w:pPr>
                  <w:r>
                    <w:rPr>
                      <w:rFonts w:hint="eastAsia" w:ascii="楷体" w:hAnsi="楷体" w:eastAsia="楷体"/>
                      <w:sz w:val="21"/>
                      <w:szCs w:val="21"/>
                      <w:lang w:val="en-US" w:eastAsia="zh-CN"/>
                    </w:rPr>
                    <w:t>2025年1月14日</w:t>
                  </w:r>
                </w:p>
              </w:tc>
              <w:tc>
                <w:tcPr>
                  <w:tcW w:w="1928"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A份额2.30%-3.10%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C份额2.40%-3.20%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D份额2.45%-3.25%</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E份额2.55%-3.35%</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F份额2.30%-3.10%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kern w:val="2"/>
                      <w:sz w:val="21"/>
                      <w:szCs w:val="21"/>
                      <w:lang w:val="en-US" w:eastAsia="zh-CN" w:bidi="ar-SA"/>
                    </w:rPr>
                  </w:pPr>
                  <w:r>
                    <w:rPr>
                      <w:rFonts w:hint="eastAsia" w:ascii="楷体" w:hAnsi="楷体" w:eastAsia="楷体" w:cs="宋体"/>
                      <w:spacing w:val="-2"/>
                      <w:szCs w:val="21"/>
                      <w:lang w:val="en-US" w:eastAsia="zh-CN"/>
                    </w:rPr>
                    <w:t>W份额2.30%-3.10%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jc w:val="center"/>
              </w:trPr>
              <w:tc>
                <w:tcPr>
                  <w:tcW w:w="680" w:type="dxa"/>
                  <w:noWrap w:val="0"/>
                  <w:vAlign w:val="center"/>
                </w:tcPr>
                <w:p>
                  <w:pPr>
                    <w:jc w:val="center"/>
                    <w:rPr>
                      <w:rFonts w:hint="default" w:ascii="楷体" w:hAnsi="楷体" w:eastAsia="楷体"/>
                      <w:szCs w:val="21"/>
                      <w:lang w:val="en-US" w:eastAsia="zh-CN"/>
                    </w:rPr>
                  </w:pPr>
                  <w:r>
                    <w:rPr>
                      <w:rFonts w:hint="eastAsia" w:ascii="楷体" w:hAnsi="楷体" w:eastAsia="楷体"/>
                      <w:szCs w:val="21"/>
                      <w:lang w:val="en-US" w:eastAsia="zh-CN"/>
                    </w:rPr>
                    <w:t>11</w:t>
                  </w:r>
                </w:p>
              </w:tc>
              <w:tc>
                <w:tcPr>
                  <w:tcW w:w="1871"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2025年1月15日</w:t>
                  </w:r>
                </w:p>
              </w:tc>
              <w:tc>
                <w:tcPr>
                  <w:tcW w:w="1871"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2025年4月23日</w:t>
                  </w:r>
                </w:p>
              </w:tc>
              <w:tc>
                <w:tcPr>
                  <w:tcW w:w="1928"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A份额2.20%-3.00%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C份额2.30%-3.10%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D份额2.35%-3.15%</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E份额2.45%-3.25%</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F份额2.20%-3.00%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W份额2.20%-3.00%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S份额2.30%-3.10%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default" w:ascii="楷体" w:hAnsi="楷体" w:eastAsia="楷体"/>
                      <w:szCs w:val="21"/>
                      <w:lang w:val="en-US" w:eastAsia="zh-CN"/>
                    </w:rPr>
                  </w:pPr>
                  <w:r>
                    <w:rPr>
                      <w:rFonts w:hint="eastAsia" w:ascii="楷体" w:hAnsi="楷体" w:eastAsia="楷体"/>
                      <w:szCs w:val="21"/>
                      <w:lang w:val="en-US" w:eastAsia="zh-CN"/>
                    </w:rPr>
                    <w:t>12</w:t>
                  </w:r>
                </w:p>
              </w:tc>
              <w:tc>
                <w:tcPr>
                  <w:tcW w:w="1871"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2025年4月24日</w:t>
                  </w:r>
                </w:p>
              </w:tc>
              <w:tc>
                <w:tcPr>
                  <w:tcW w:w="1871"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2025年7月30日</w:t>
                  </w:r>
                </w:p>
              </w:tc>
              <w:tc>
                <w:tcPr>
                  <w:tcW w:w="1928"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default" w:ascii="楷体" w:hAnsi="楷体" w:eastAsia="楷体"/>
                      <w:szCs w:val="21"/>
                      <w:lang w:val="en-US" w:eastAsia="zh-CN"/>
                    </w:rPr>
                  </w:pPr>
                  <w:r>
                    <w:rPr>
                      <w:rFonts w:hint="eastAsia" w:ascii="楷体" w:hAnsi="楷体" w:eastAsia="楷体"/>
                      <w:szCs w:val="21"/>
                      <w:lang w:val="en-US" w:eastAsia="zh-CN"/>
                    </w:rPr>
                    <w:t>13</w:t>
                  </w:r>
                </w:p>
              </w:tc>
              <w:tc>
                <w:tcPr>
                  <w:tcW w:w="1871" w:type="dxa"/>
                  <w:noWrap w:val="0"/>
                  <w:vAlign w:val="center"/>
                </w:tcPr>
                <w:p>
                  <w:pPr>
                    <w:jc w:val="center"/>
                    <w:rPr>
                      <w:rFonts w:hint="eastAsia" w:ascii="楷体" w:hAnsi="楷体" w:eastAsia="楷体"/>
                      <w:kern w:val="2"/>
                      <w:sz w:val="21"/>
                      <w:szCs w:val="21"/>
                      <w:lang w:val="en-US" w:eastAsia="zh-CN" w:bidi="ar-SA"/>
                    </w:rPr>
                  </w:pPr>
                  <w:r>
                    <w:rPr>
                      <w:rFonts w:hint="eastAsia" w:ascii="楷体" w:hAnsi="楷体" w:eastAsia="楷体"/>
                      <w:sz w:val="21"/>
                      <w:szCs w:val="21"/>
                      <w:lang w:val="en-US" w:eastAsia="zh-CN"/>
                    </w:rPr>
                    <w:t>2025年7月31日</w:t>
                  </w:r>
                </w:p>
              </w:tc>
              <w:tc>
                <w:tcPr>
                  <w:tcW w:w="1871" w:type="dxa"/>
                  <w:noWrap w:val="0"/>
                  <w:vAlign w:val="center"/>
                </w:tcPr>
                <w:p>
                  <w:pPr>
                    <w:jc w:val="center"/>
                    <w:rPr>
                      <w:rFonts w:hint="eastAsia" w:ascii="楷体" w:hAnsi="楷体" w:eastAsia="楷体"/>
                      <w:kern w:val="2"/>
                      <w:sz w:val="21"/>
                      <w:szCs w:val="21"/>
                      <w:lang w:val="en-US" w:eastAsia="zh-CN" w:bidi="ar-SA"/>
                    </w:rPr>
                  </w:pPr>
                  <w:r>
                    <w:rPr>
                      <w:rFonts w:hint="eastAsia" w:ascii="楷体" w:hAnsi="楷体" w:eastAsia="楷体"/>
                      <w:sz w:val="21"/>
                      <w:szCs w:val="21"/>
                      <w:lang w:val="en-US" w:eastAsia="zh-CN"/>
                    </w:rPr>
                    <w:t>2025年11月5日</w:t>
                  </w:r>
                </w:p>
              </w:tc>
              <w:tc>
                <w:tcPr>
                  <w:tcW w:w="1928"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A份额2.10%-2.90%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C份额2.20%-3.00%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D份额2.25%-3.05%</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E份额2.35%-3.15%</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F份额2.10%-2.90%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W份额2.10%-2.90%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S份额2.20%-3.00%</w:t>
                  </w:r>
                </w:p>
              </w:tc>
            </w:tr>
          </w:tbl>
          <w:p>
            <w:pPr>
              <w:ind w:left="59" w:leftChars="0" w:right="73" w:rightChars="35"/>
              <w:rPr>
                <w:rFonts w:hint="eastAsia" w:ascii="楷体" w:hAnsi="楷体" w:eastAsia="楷体" w:cs="宋体"/>
                <w:b/>
                <w:spacing w:val="-2"/>
                <w:szCs w:val="21"/>
                <w:u w:val="single"/>
              </w:rPr>
            </w:pPr>
            <w:r>
              <w:rPr>
                <w:rFonts w:hint="eastAsia" w:ascii="楷体" w:hAnsi="楷体" w:eastAsia="楷体" w:cs="宋体"/>
                <w:b/>
                <w:spacing w:val="-2"/>
                <w:szCs w:val="21"/>
                <w:u w:val="single"/>
              </w:rPr>
              <w:t>本产品为净值型产品，业绩表现将随市场波动，具有不确定性。业绩比较基准为管理人对本产品所设定的投资目标，不代表理财产品未来表现，不等于理财产品实际收益，不构成管理人对产品实际投资收益率的承诺或担保，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8"/>
              <w:ind w:left="55"/>
              <w:jc w:val="both"/>
              <w:rPr>
                <w:rFonts w:hint="eastAsia" w:ascii="楷体" w:hAnsi="楷体" w:eastAsia="楷体" w:cs="宋体"/>
                <w:spacing w:val="-2"/>
                <w:sz w:val="21"/>
                <w:szCs w:val="21"/>
              </w:rPr>
            </w:pPr>
            <w:r>
              <w:rPr>
                <w:rFonts w:hint="eastAsia" w:ascii="楷体" w:hAnsi="楷体" w:eastAsia="楷体" w:cs="宋体"/>
                <w:b/>
                <w:spacing w:val="-2"/>
                <w:sz w:val="21"/>
                <w:szCs w:val="21"/>
              </w:rPr>
              <w:t>产品费用</w:t>
            </w:r>
          </w:p>
        </w:tc>
        <w:tc>
          <w:tcPr>
            <w:tcW w:w="6614" w:type="dxa"/>
            <w:noWrap w:val="0"/>
            <w:vAlign w:val="center"/>
          </w:tcPr>
          <w:p>
            <w:pPr>
              <w:ind w:left="59" w:right="73" w:rightChars="35"/>
              <w:rPr>
                <w:rFonts w:hint="eastAsia" w:ascii="楷体" w:hAnsi="楷体" w:eastAsia="楷体" w:cs="宋体"/>
                <w:spacing w:val="-2"/>
                <w:szCs w:val="21"/>
              </w:rPr>
            </w:pPr>
            <w:r>
              <w:rPr>
                <w:rFonts w:hint="eastAsia" w:ascii="楷体" w:hAnsi="楷体" w:eastAsia="楷体" w:cs="宋体"/>
                <w:spacing w:val="-2"/>
                <w:szCs w:val="21"/>
              </w:rPr>
              <w:t>本产品费用包括托管费、销售服务费、投资管理费、超额业绩报酬以及产品运作和清算中产生的其他费用等。</w:t>
            </w:r>
          </w:p>
          <w:p>
            <w:pPr>
              <w:ind w:left="59" w:right="73" w:rightChars="35"/>
              <w:rPr>
                <w:rFonts w:hint="eastAsia" w:ascii="楷体" w:hAnsi="楷体" w:eastAsia="楷体" w:cs="宋体"/>
                <w:spacing w:val="-2"/>
                <w:szCs w:val="21"/>
              </w:rPr>
            </w:pPr>
            <w:r>
              <w:rPr>
                <w:rFonts w:hint="eastAsia" w:ascii="楷体" w:hAnsi="楷体" w:eastAsia="楷体" w:cs="宋体"/>
                <w:spacing w:val="-2"/>
                <w:szCs w:val="21"/>
              </w:rPr>
              <w:t>1.托管费率：0.02%/年。</w:t>
            </w:r>
          </w:p>
          <w:p>
            <w:pPr>
              <w:ind w:left="59" w:right="73" w:rightChars="35"/>
              <w:rPr>
                <w:rFonts w:hint="eastAsia" w:ascii="楷体" w:hAnsi="楷体" w:eastAsia="楷体" w:cs="宋体"/>
                <w:spacing w:val="-2"/>
                <w:szCs w:val="21"/>
              </w:rPr>
            </w:pPr>
            <w:r>
              <w:rPr>
                <w:rFonts w:hint="eastAsia" w:ascii="楷体" w:hAnsi="楷体" w:eastAsia="楷体" w:cs="宋体"/>
                <w:spacing w:val="-2"/>
                <w:szCs w:val="21"/>
              </w:rPr>
              <w:t>2.销售服务费率：A份额</w:t>
            </w:r>
            <w:r>
              <w:rPr>
                <w:rFonts w:ascii="楷体" w:hAnsi="楷体" w:eastAsia="楷体" w:cs="宋体"/>
                <w:spacing w:val="-2"/>
                <w:szCs w:val="21"/>
              </w:rPr>
              <w:t>0.2</w:t>
            </w:r>
            <w:r>
              <w:rPr>
                <w:rFonts w:hint="eastAsia" w:ascii="楷体" w:hAnsi="楷体" w:eastAsia="楷体" w:cs="宋体"/>
                <w:spacing w:val="-2"/>
                <w:szCs w:val="21"/>
              </w:rPr>
              <w:t>0%/年，</w:t>
            </w:r>
            <w:r>
              <w:rPr>
                <w:rFonts w:ascii="楷体" w:hAnsi="楷体" w:eastAsia="楷体" w:cs="宋体"/>
                <w:spacing w:val="-2"/>
                <w:szCs w:val="21"/>
              </w:rPr>
              <w:t>C</w:t>
            </w:r>
            <w:r>
              <w:rPr>
                <w:rFonts w:hint="eastAsia" w:ascii="楷体" w:hAnsi="楷体" w:eastAsia="楷体" w:cs="宋体"/>
                <w:spacing w:val="-2"/>
                <w:szCs w:val="21"/>
              </w:rPr>
              <w:t>份额</w:t>
            </w:r>
            <w:r>
              <w:rPr>
                <w:rFonts w:ascii="楷体" w:hAnsi="楷体" w:eastAsia="楷体" w:cs="宋体"/>
                <w:spacing w:val="-2"/>
                <w:szCs w:val="21"/>
              </w:rPr>
              <w:t>0.15</w:t>
            </w:r>
            <w:r>
              <w:rPr>
                <w:rFonts w:hint="eastAsia" w:ascii="楷体" w:hAnsi="楷体" w:eastAsia="楷体" w:cs="宋体"/>
                <w:spacing w:val="-2"/>
                <w:szCs w:val="21"/>
              </w:rPr>
              <w:t>%/年，</w:t>
            </w:r>
            <w:r>
              <w:rPr>
                <w:rFonts w:ascii="楷体" w:hAnsi="楷体" w:eastAsia="楷体" w:cs="宋体"/>
                <w:spacing w:val="-2"/>
                <w:szCs w:val="21"/>
              </w:rPr>
              <w:t>D</w:t>
            </w:r>
            <w:r>
              <w:rPr>
                <w:rFonts w:hint="eastAsia" w:ascii="楷体" w:hAnsi="楷体" w:eastAsia="楷体" w:cs="宋体"/>
                <w:spacing w:val="-2"/>
                <w:szCs w:val="21"/>
              </w:rPr>
              <w:t>份额</w:t>
            </w:r>
            <w:r>
              <w:rPr>
                <w:rFonts w:ascii="楷体" w:hAnsi="楷体" w:eastAsia="楷体" w:cs="宋体"/>
                <w:spacing w:val="-2"/>
                <w:szCs w:val="21"/>
              </w:rPr>
              <w:t>0.2</w:t>
            </w:r>
            <w:r>
              <w:rPr>
                <w:rFonts w:hint="eastAsia" w:ascii="楷体" w:hAnsi="楷体" w:eastAsia="楷体" w:cs="宋体"/>
                <w:spacing w:val="-2"/>
                <w:szCs w:val="21"/>
              </w:rPr>
              <w:t>0%/年</w:t>
            </w:r>
            <w:r>
              <w:rPr>
                <w:rFonts w:hint="eastAsia" w:ascii="楷体" w:hAnsi="楷体" w:eastAsia="楷体" w:cs="宋体"/>
                <w:spacing w:val="-2"/>
                <w:szCs w:val="21"/>
                <w:lang w:eastAsia="zh-CN"/>
              </w:rPr>
              <w:t>，</w:t>
            </w:r>
            <w:r>
              <w:rPr>
                <w:rFonts w:hint="eastAsia" w:ascii="楷体" w:hAnsi="楷体" w:eastAsia="楷体" w:cs="宋体"/>
                <w:spacing w:val="-2"/>
                <w:szCs w:val="21"/>
                <w:lang w:val="en-US" w:eastAsia="zh-CN"/>
              </w:rPr>
              <w:t>E份额0.15%/年，F</w:t>
            </w:r>
            <w:r>
              <w:rPr>
                <w:rFonts w:hint="eastAsia" w:ascii="楷体" w:hAnsi="楷体" w:eastAsia="楷体" w:cs="宋体"/>
                <w:spacing w:val="-2"/>
                <w:szCs w:val="21"/>
              </w:rPr>
              <w:t>份额</w:t>
            </w:r>
            <w:r>
              <w:rPr>
                <w:rFonts w:ascii="楷体" w:hAnsi="楷体" w:eastAsia="楷体" w:cs="宋体"/>
                <w:spacing w:val="-2"/>
                <w:szCs w:val="21"/>
              </w:rPr>
              <w:t>0.2</w:t>
            </w:r>
            <w:r>
              <w:rPr>
                <w:rFonts w:hint="eastAsia" w:ascii="楷体" w:hAnsi="楷体" w:eastAsia="楷体" w:cs="宋体"/>
                <w:spacing w:val="-2"/>
                <w:szCs w:val="21"/>
              </w:rPr>
              <w:t>0%/年</w:t>
            </w:r>
            <w:r>
              <w:rPr>
                <w:rFonts w:hint="eastAsia" w:ascii="楷体" w:hAnsi="楷体" w:eastAsia="楷体" w:cs="宋体"/>
                <w:spacing w:val="-2"/>
                <w:szCs w:val="21"/>
                <w:lang w:val="en-US" w:eastAsia="zh-CN"/>
              </w:rPr>
              <w:t>,W份额0.30%/年，S</w:t>
            </w:r>
            <w:r>
              <w:rPr>
                <w:rFonts w:hint="eastAsia" w:ascii="楷体" w:hAnsi="楷体" w:eastAsia="楷体" w:cs="宋体"/>
                <w:spacing w:val="-2"/>
                <w:szCs w:val="21"/>
              </w:rPr>
              <w:t>份额</w:t>
            </w:r>
            <w:r>
              <w:rPr>
                <w:rFonts w:ascii="楷体" w:hAnsi="楷体" w:eastAsia="楷体" w:cs="宋体"/>
                <w:spacing w:val="-2"/>
                <w:szCs w:val="21"/>
              </w:rPr>
              <w:t>0.</w:t>
            </w:r>
            <w:r>
              <w:rPr>
                <w:rFonts w:hint="eastAsia" w:ascii="楷体" w:hAnsi="楷体" w:eastAsia="楷体" w:cs="宋体"/>
                <w:spacing w:val="-2"/>
                <w:szCs w:val="21"/>
                <w:lang w:val="en-US" w:eastAsia="zh-CN"/>
              </w:rPr>
              <w:t>20</w:t>
            </w:r>
            <w:r>
              <w:rPr>
                <w:rFonts w:hint="eastAsia" w:ascii="楷体" w:hAnsi="楷体" w:eastAsia="楷体" w:cs="宋体"/>
                <w:spacing w:val="-2"/>
                <w:szCs w:val="21"/>
              </w:rPr>
              <w:t>%/年。</w:t>
            </w:r>
          </w:p>
          <w:p>
            <w:pPr>
              <w:ind w:left="59" w:right="73" w:rightChars="35"/>
              <w:rPr>
                <w:rFonts w:hint="eastAsia" w:ascii="楷体" w:hAnsi="楷体" w:eastAsia="楷体" w:cs="宋体"/>
                <w:spacing w:val="-2"/>
                <w:szCs w:val="21"/>
              </w:rPr>
            </w:pPr>
            <w:r>
              <w:rPr>
                <w:rFonts w:hint="eastAsia" w:ascii="楷体" w:hAnsi="楷体" w:eastAsia="楷体" w:cs="宋体"/>
                <w:spacing w:val="-2"/>
                <w:szCs w:val="21"/>
              </w:rPr>
              <w:t>3.投资管理费率：A份额</w:t>
            </w:r>
            <w:r>
              <w:rPr>
                <w:rFonts w:ascii="楷体" w:hAnsi="楷体" w:eastAsia="楷体" w:cs="宋体"/>
                <w:spacing w:val="-2"/>
                <w:szCs w:val="21"/>
              </w:rPr>
              <w:t>0.8</w:t>
            </w:r>
            <w:r>
              <w:rPr>
                <w:rFonts w:hint="eastAsia" w:ascii="楷体" w:hAnsi="楷体" w:eastAsia="楷体" w:cs="宋体"/>
                <w:spacing w:val="-2"/>
                <w:szCs w:val="21"/>
              </w:rPr>
              <w:t>0%/年，</w:t>
            </w:r>
            <w:r>
              <w:rPr>
                <w:rFonts w:ascii="楷体" w:hAnsi="楷体" w:eastAsia="楷体" w:cs="宋体"/>
                <w:spacing w:val="-2"/>
                <w:szCs w:val="21"/>
              </w:rPr>
              <w:t>C</w:t>
            </w:r>
            <w:r>
              <w:rPr>
                <w:rFonts w:hint="eastAsia" w:ascii="楷体" w:hAnsi="楷体" w:eastAsia="楷体" w:cs="宋体"/>
                <w:spacing w:val="-2"/>
                <w:szCs w:val="21"/>
              </w:rPr>
              <w:t>份额</w:t>
            </w:r>
            <w:r>
              <w:rPr>
                <w:rFonts w:ascii="楷体" w:hAnsi="楷体" w:eastAsia="楷体" w:cs="宋体"/>
                <w:spacing w:val="-2"/>
                <w:szCs w:val="21"/>
              </w:rPr>
              <w:t>0.75</w:t>
            </w:r>
            <w:r>
              <w:rPr>
                <w:rFonts w:hint="eastAsia" w:ascii="楷体" w:hAnsi="楷体" w:eastAsia="楷体" w:cs="宋体"/>
                <w:spacing w:val="-2"/>
                <w:szCs w:val="21"/>
              </w:rPr>
              <w:t>%/年，</w:t>
            </w:r>
            <w:r>
              <w:rPr>
                <w:rFonts w:ascii="楷体" w:hAnsi="楷体" w:eastAsia="楷体" w:cs="宋体"/>
                <w:spacing w:val="-2"/>
                <w:szCs w:val="21"/>
              </w:rPr>
              <w:t>D</w:t>
            </w:r>
            <w:r>
              <w:rPr>
                <w:rFonts w:hint="eastAsia" w:ascii="楷体" w:hAnsi="楷体" w:eastAsia="楷体" w:cs="宋体"/>
                <w:spacing w:val="-2"/>
                <w:szCs w:val="21"/>
              </w:rPr>
              <w:t>份额</w:t>
            </w:r>
            <w:r>
              <w:rPr>
                <w:rFonts w:ascii="楷体" w:hAnsi="楷体" w:eastAsia="楷体" w:cs="宋体"/>
                <w:spacing w:val="-2"/>
                <w:szCs w:val="21"/>
              </w:rPr>
              <w:t>0.</w:t>
            </w:r>
            <w:r>
              <w:rPr>
                <w:rFonts w:hint="eastAsia" w:ascii="楷体" w:hAnsi="楷体" w:eastAsia="楷体" w:cs="宋体"/>
                <w:spacing w:val="-2"/>
                <w:szCs w:val="21"/>
                <w:lang w:val="en-US" w:eastAsia="zh-CN"/>
              </w:rPr>
              <w:t>6</w:t>
            </w:r>
            <w:r>
              <w:rPr>
                <w:rFonts w:ascii="楷体" w:hAnsi="楷体" w:eastAsia="楷体" w:cs="宋体"/>
                <w:spacing w:val="-2"/>
                <w:szCs w:val="21"/>
              </w:rPr>
              <w:t>5</w:t>
            </w:r>
            <w:r>
              <w:rPr>
                <w:rFonts w:hint="eastAsia" w:ascii="楷体" w:hAnsi="楷体" w:eastAsia="楷体" w:cs="宋体"/>
                <w:spacing w:val="-2"/>
                <w:szCs w:val="21"/>
              </w:rPr>
              <w:t>%/年</w:t>
            </w:r>
            <w:r>
              <w:rPr>
                <w:rFonts w:hint="eastAsia" w:ascii="楷体" w:hAnsi="楷体" w:eastAsia="楷体" w:cs="宋体"/>
                <w:spacing w:val="-2"/>
                <w:szCs w:val="21"/>
                <w:lang w:eastAsia="zh-CN"/>
              </w:rPr>
              <w:t>，</w:t>
            </w:r>
            <w:r>
              <w:rPr>
                <w:rFonts w:hint="eastAsia" w:ascii="楷体" w:hAnsi="楷体" w:eastAsia="楷体" w:cs="宋体"/>
                <w:spacing w:val="-2"/>
                <w:szCs w:val="21"/>
                <w:lang w:val="en-US" w:eastAsia="zh-CN"/>
              </w:rPr>
              <w:t>E份额0.60%/年，F</w:t>
            </w:r>
            <w:r>
              <w:rPr>
                <w:rFonts w:hint="eastAsia" w:ascii="楷体" w:hAnsi="楷体" w:eastAsia="楷体" w:cs="宋体"/>
                <w:spacing w:val="-2"/>
                <w:szCs w:val="21"/>
              </w:rPr>
              <w:t>份额</w:t>
            </w:r>
            <w:r>
              <w:rPr>
                <w:rFonts w:ascii="楷体" w:hAnsi="楷体" w:eastAsia="楷体" w:cs="宋体"/>
                <w:spacing w:val="-2"/>
                <w:szCs w:val="21"/>
              </w:rPr>
              <w:t>0.8</w:t>
            </w:r>
            <w:r>
              <w:rPr>
                <w:rFonts w:hint="eastAsia" w:ascii="楷体" w:hAnsi="楷体" w:eastAsia="楷体" w:cs="宋体"/>
                <w:spacing w:val="-2"/>
                <w:szCs w:val="21"/>
              </w:rPr>
              <w:t>0%/年</w:t>
            </w:r>
            <w:r>
              <w:rPr>
                <w:rFonts w:hint="eastAsia" w:ascii="楷体" w:hAnsi="楷体" w:eastAsia="楷体" w:cs="宋体"/>
                <w:spacing w:val="-2"/>
                <w:szCs w:val="21"/>
                <w:lang w:eastAsia="zh-CN"/>
              </w:rPr>
              <w:t>，</w:t>
            </w:r>
            <w:r>
              <w:rPr>
                <w:rFonts w:hint="eastAsia" w:ascii="楷体" w:hAnsi="楷体" w:eastAsia="楷体" w:cs="宋体"/>
                <w:spacing w:val="-2"/>
                <w:szCs w:val="21"/>
                <w:lang w:val="en-US" w:eastAsia="zh-CN"/>
              </w:rPr>
              <w:t>W</w:t>
            </w:r>
            <w:r>
              <w:rPr>
                <w:rFonts w:hint="eastAsia" w:ascii="楷体" w:hAnsi="楷体" w:eastAsia="楷体" w:cs="宋体"/>
                <w:spacing w:val="-2"/>
                <w:szCs w:val="21"/>
              </w:rPr>
              <w:t>份额</w:t>
            </w:r>
            <w:r>
              <w:rPr>
                <w:rFonts w:ascii="楷体" w:hAnsi="楷体" w:eastAsia="楷体" w:cs="宋体"/>
                <w:spacing w:val="-2"/>
                <w:szCs w:val="21"/>
              </w:rPr>
              <w:t>0.</w:t>
            </w:r>
            <w:r>
              <w:rPr>
                <w:rFonts w:hint="eastAsia" w:ascii="楷体" w:hAnsi="楷体" w:eastAsia="楷体" w:cs="宋体"/>
                <w:spacing w:val="-2"/>
                <w:szCs w:val="21"/>
                <w:lang w:val="en-US" w:eastAsia="zh-CN"/>
              </w:rPr>
              <w:t>7</w:t>
            </w:r>
            <w:r>
              <w:rPr>
                <w:rFonts w:hint="eastAsia" w:ascii="楷体" w:hAnsi="楷体" w:eastAsia="楷体" w:cs="宋体"/>
                <w:spacing w:val="-2"/>
                <w:szCs w:val="21"/>
              </w:rPr>
              <w:t>0%/年</w:t>
            </w:r>
            <w:r>
              <w:rPr>
                <w:rFonts w:hint="eastAsia" w:ascii="楷体" w:hAnsi="楷体" w:eastAsia="楷体" w:cs="宋体"/>
                <w:spacing w:val="-2"/>
                <w:szCs w:val="21"/>
                <w:lang w:val="en-US" w:eastAsia="zh-CN"/>
              </w:rPr>
              <w:t>，S</w:t>
            </w:r>
            <w:r>
              <w:rPr>
                <w:rFonts w:hint="eastAsia" w:ascii="楷体" w:hAnsi="楷体" w:eastAsia="楷体" w:cs="宋体"/>
                <w:spacing w:val="-2"/>
                <w:szCs w:val="21"/>
              </w:rPr>
              <w:t>份额</w:t>
            </w:r>
            <w:r>
              <w:rPr>
                <w:rFonts w:ascii="楷体" w:hAnsi="楷体" w:eastAsia="楷体" w:cs="宋体"/>
                <w:spacing w:val="-2"/>
                <w:szCs w:val="21"/>
              </w:rPr>
              <w:t>0.</w:t>
            </w:r>
            <w:r>
              <w:rPr>
                <w:rFonts w:hint="eastAsia" w:ascii="楷体" w:hAnsi="楷体" w:eastAsia="楷体" w:cs="宋体"/>
                <w:spacing w:val="-2"/>
                <w:szCs w:val="21"/>
                <w:lang w:val="en-US" w:eastAsia="zh-CN"/>
              </w:rPr>
              <w:t>70</w:t>
            </w:r>
            <w:r>
              <w:rPr>
                <w:rFonts w:hint="eastAsia" w:ascii="楷体" w:hAnsi="楷体" w:eastAsia="楷体" w:cs="宋体"/>
                <w:spacing w:val="-2"/>
                <w:szCs w:val="21"/>
              </w:rPr>
              <w:t>%/年。</w:t>
            </w:r>
          </w:p>
          <w:p>
            <w:pPr>
              <w:ind w:left="59" w:right="73" w:rightChars="35"/>
              <w:rPr>
                <w:rFonts w:hint="eastAsia" w:ascii="楷体" w:hAnsi="楷体" w:eastAsia="楷体" w:cs="宋体"/>
                <w:spacing w:val="-2"/>
                <w:szCs w:val="21"/>
              </w:rPr>
            </w:pPr>
            <w:r>
              <w:rPr>
                <w:rFonts w:hint="eastAsia" w:ascii="楷体" w:hAnsi="楷体" w:eastAsia="楷体" w:cs="宋体"/>
                <w:spacing w:val="-2"/>
                <w:szCs w:val="21"/>
              </w:rPr>
              <w:t>4.超额业绩报酬：管理人按投资周期收取超额业绩报酬。若单一投资周期的各份额实际投资收益在扣除托管费、销售服务费、投资管理费以及运作产品所必须缴纳的税费后超过各份额业绩比较基准</w:t>
            </w:r>
            <w:r>
              <w:rPr>
                <w:rFonts w:hint="eastAsia" w:ascii="楷体" w:hAnsi="楷体" w:eastAsia="楷体" w:cs="宋体"/>
                <w:spacing w:val="-2"/>
                <w:szCs w:val="21"/>
                <w:lang w:val="en-US" w:eastAsia="zh-CN"/>
              </w:rPr>
              <w:t>上限</w:t>
            </w:r>
            <w:r>
              <w:rPr>
                <w:rFonts w:hint="eastAsia" w:ascii="楷体" w:hAnsi="楷体" w:eastAsia="楷体" w:cs="宋体"/>
                <w:spacing w:val="-2"/>
                <w:szCs w:val="21"/>
              </w:rPr>
              <w:t>，则该投资周期终止日后管理人将按照超出部分的</w:t>
            </w:r>
            <w:r>
              <w:rPr>
                <w:rFonts w:hint="eastAsia" w:ascii="楷体" w:hAnsi="楷体" w:eastAsia="楷体" w:cs="宋体"/>
                <w:spacing w:val="-2"/>
                <w:szCs w:val="21"/>
                <w:lang w:val="en-US" w:eastAsia="zh-CN"/>
              </w:rPr>
              <w:t>50</w:t>
            </w:r>
            <w:r>
              <w:rPr>
                <w:rFonts w:hint="eastAsia" w:ascii="楷体" w:hAnsi="楷体" w:eastAsia="楷体" w:cs="宋体"/>
                <w:spacing w:val="-2"/>
                <w:szCs w:val="21"/>
              </w:rPr>
              <w:t>%收取超额业绩报酬。</w:t>
            </w:r>
          </w:p>
          <w:p>
            <w:pPr>
              <w:ind w:left="59" w:right="73" w:rightChars="35"/>
              <w:rPr>
                <w:rFonts w:hint="eastAsia" w:ascii="楷体" w:hAnsi="楷体" w:eastAsia="楷体" w:cs="宋体"/>
                <w:spacing w:val="-2"/>
                <w:szCs w:val="21"/>
              </w:rPr>
            </w:pPr>
            <w:r>
              <w:rPr>
                <w:rFonts w:hint="eastAsia" w:ascii="楷体" w:hAnsi="楷体" w:eastAsia="楷体" w:cs="宋体"/>
                <w:spacing w:val="-2"/>
                <w:szCs w:val="21"/>
              </w:rPr>
              <w:t>单一投资周期运作期间内理财产品将每日暂估超额业绩报酬，仅用于理财产品会计核算，并将扣除“暂估超额业绩报酬”后的理财产品份额净值按照说明书约定向投资者进行披露。理财产品实际的超额业绩报酬以投资周期终止日或产品到期日计提核算的数值为准。计算累计年化收益率和业绩比较基准时，1年按365日计算。</w:t>
            </w:r>
          </w:p>
          <w:p>
            <w:pPr>
              <w:ind w:left="59" w:right="73" w:rightChars="35"/>
              <w:rPr>
                <w:rFonts w:ascii="楷体" w:hAnsi="楷体" w:eastAsia="楷体"/>
                <w:sz w:val="24"/>
                <w:szCs w:val="24"/>
              </w:rPr>
            </w:pPr>
            <w:r>
              <w:rPr>
                <w:rFonts w:hint="eastAsia" w:ascii="楷体" w:hAnsi="楷体" w:eastAsia="楷体" w:cs="宋体"/>
                <w:spacing w:val="-2"/>
                <w:szCs w:val="21"/>
              </w:rPr>
              <w:t>产品存续期内苏银理财可对</w:t>
            </w:r>
            <w:r>
              <w:rPr>
                <w:rFonts w:hint="eastAsia" w:ascii="楷体" w:hAnsi="楷体" w:eastAsia="楷体" w:cs="宋体"/>
                <w:spacing w:val="-2"/>
                <w:szCs w:val="21"/>
                <w:lang w:val="en-US" w:eastAsia="zh-CN"/>
              </w:rPr>
              <w:t>费用进行调整</w:t>
            </w:r>
            <w:r>
              <w:rPr>
                <w:rFonts w:hint="eastAsia" w:ascii="楷体" w:hAnsi="楷体" w:eastAsia="楷体" w:cs="宋体"/>
                <w:spacing w:val="-2"/>
                <w:szCs w:val="21"/>
              </w:rPr>
              <w:t>，实际收取费率以管理人公告为准。</w:t>
            </w:r>
            <w:r>
              <w:rPr>
                <w:rFonts w:hint="eastAsia" w:ascii="楷体" w:hAnsi="楷体" w:eastAsia="楷体" w:cs="宋体"/>
                <w:b/>
                <w:spacing w:val="-2"/>
                <w:szCs w:val="21"/>
                <w:u w:val="single"/>
              </w:rPr>
              <w:t>本产品设置有多个份额，各</w:t>
            </w:r>
            <w:r>
              <w:rPr>
                <w:rFonts w:hint="eastAsia" w:ascii="楷体" w:hAnsi="楷体" w:eastAsia="楷体" w:cs="宋体"/>
                <w:b/>
                <w:spacing w:val="-2"/>
                <w:szCs w:val="21"/>
                <w:u w:val="single"/>
                <w:lang w:val="en-US" w:eastAsia="zh-CN"/>
              </w:rPr>
              <w:t>份额</w:t>
            </w:r>
            <w:r>
              <w:rPr>
                <w:rFonts w:hint="eastAsia" w:ascii="楷体" w:hAnsi="楷体" w:eastAsia="楷体" w:cs="宋体"/>
                <w:b/>
                <w:spacing w:val="-2"/>
                <w:szCs w:val="21"/>
                <w:u w:val="single"/>
              </w:rPr>
              <w:t>按照设置的销售对象和销售起点进行销售，各</w:t>
            </w:r>
            <w:r>
              <w:rPr>
                <w:rFonts w:hint="eastAsia" w:ascii="楷体" w:hAnsi="楷体" w:eastAsia="楷体" w:cs="宋体"/>
                <w:b/>
                <w:spacing w:val="-2"/>
                <w:szCs w:val="21"/>
                <w:u w:val="single"/>
                <w:lang w:val="en-US" w:eastAsia="zh-CN"/>
              </w:rPr>
              <w:t>份额</w:t>
            </w:r>
            <w:r>
              <w:rPr>
                <w:rFonts w:hint="eastAsia" w:ascii="楷体" w:hAnsi="楷体" w:eastAsia="楷体" w:cs="宋体"/>
                <w:b/>
                <w:spacing w:val="-2"/>
                <w:szCs w:val="21"/>
                <w:u w:val="single"/>
              </w:rPr>
              <w:t>实际收取的销售服务费率和投资管理费率可能存在差异，客户根据产品销售时设置的条件自主选择购买。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bottom w:val="single" w:color="auto" w:sz="4" w:space="0"/>
            </w:tcBorders>
            <w:noWrap w:val="0"/>
            <w:vAlign w:val="center"/>
          </w:tcPr>
          <w:p>
            <w:pPr>
              <w:pStyle w:val="45"/>
              <w:kinsoku w:val="0"/>
              <w:overflowPunct w:val="0"/>
              <w:spacing w:before="18"/>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估值日</w:t>
            </w:r>
          </w:p>
        </w:tc>
        <w:tc>
          <w:tcPr>
            <w:tcW w:w="6614" w:type="dxa"/>
            <w:tcBorders>
              <w:bottom w:val="single" w:color="auto" w:sz="4" w:space="0"/>
            </w:tcBorders>
            <w:noWrap w:val="0"/>
            <w:vAlign w:val="center"/>
          </w:tcPr>
          <w:p>
            <w:pPr>
              <w:ind w:left="59" w:right="73" w:rightChars="35"/>
              <w:rPr>
                <w:rFonts w:hint="eastAsia" w:ascii="楷体" w:hAnsi="楷体" w:eastAsia="楷体" w:cs="宋体"/>
                <w:spacing w:val="-2"/>
                <w:szCs w:val="21"/>
              </w:rPr>
            </w:pPr>
            <w:r>
              <w:rPr>
                <w:rFonts w:hint="eastAsia" w:ascii="楷体" w:hAnsi="楷体" w:eastAsia="楷体" w:cs="宋体"/>
                <w:spacing w:val="-2"/>
                <w:szCs w:val="21"/>
              </w:rPr>
              <w:t>本产品每日估值，每个开放日结束后2个工作日内通过本理财产品说明书约定方式披露上一投资周期终止日的单位净值、份额累计净值、认</w:t>
            </w:r>
            <w:r>
              <w:rPr>
                <w:rFonts w:hint="eastAsia" w:ascii="楷体" w:hAnsi="楷体" w:eastAsia="楷体" w:cs="宋体"/>
                <w:spacing w:val="-2"/>
                <w:szCs w:val="21"/>
                <w:lang w:val="en-US" w:eastAsia="zh-CN"/>
              </w:rPr>
              <w:t>/申</w:t>
            </w:r>
            <w:r>
              <w:rPr>
                <w:rFonts w:hint="eastAsia" w:ascii="楷体" w:hAnsi="楷体" w:eastAsia="楷体" w:cs="宋体"/>
                <w:spacing w:val="-2"/>
                <w:szCs w:val="21"/>
              </w:rPr>
              <w:t>购价格和赎回价格。详见下文“十、产品估值”。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bottom w:val="single" w:color="auto" w:sz="4" w:space="0"/>
            </w:tcBorders>
            <w:noWrap w:val="0"/>
            <w:vAlign w:val="center"/>
          </w:tcPr>
          <w:p>
            <w:pPr>
              <w:pStyle w:val="45"/>
              <w:kinsoku w:val="0"/>
              <w:overflowPunct w:val="0"/>
              <w:spacing w:before="18"/>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rPr>
              <w:t>暂停估值</w:t>
            </w:r>
          </w:p>
        </w:tc>
        <w:tc>
          <w:tcPr>
            <w:tcW w:w="6614" w:type="dxa"/>
            <w:tcBorders>
              <w:bottom w:val="single" w:color="auto" w:sz="4" w:space="0"/>
            </w:tcBorders>
            <w:noWrap w:val="0"/>
            <w:vAlign w:val="center"/>
          </w:tcPr>
          <w:p>
            <w:pPr>
              <w:ind w:left="59" w:leftChars="0" w:right="73" w:rightChars="35"/>
              <w:rPr>
                <w:rFonts w:hint="eastAsia" w:ascii="楷体" w:hAnsi="楷体" w:eastAsia="楷体" w:cs="宋体"/>
                <w:spacing w:val="-2"/>
                <w:szCs w:val="21"/>
              </w:rPr>
            </w:pPr>
            <w:r>
              <w:rPr>
                <w:rFonts w:hint="eastAsia" w:ascii="楷体" w:hAnsi="楷体" w:eastAsia="楷体" w:cs="宋体"/>
                <w:spacing w:val="-2"/>
                <w:szCs w:val="21"/>
              </w:rPr>
              <w:t>本产品在前一估值日内，产品资产净值50%以上的资产不具备活跃交易市场或者在活跃市场中无报价，且不能采用估值技术可靠计量公允价值的，应当暂停本产品估值，并采取延缓支付赎回款项或暂停接受理财产品认</w:t>
            </w:r>
            <w:r>
              <w:rPr>
                <w:rFonts w:hint="eastAsia" w:ascii="楷体" w:hAnsi="楷体" w:eastAsia="楷体" w:cs="宋体"/>
                <w:spacing w:val="-2"/>
                <w:szCs w:val="21"/>
                <w:lang w:val="en-US" w:eastAsia="zh-CN"/>
              </w:rPr>
              <w:t>/申</w:t>
            </w:r>
            <w:r>
              <w:rPr>
                <w:rFonts w:hint="eastAsia" w:ascii="楷体" w:hAnsi="楷体" w:eastAsia="楷体" w:cs="宋体"/>
                <w:spacing w:val="-2"/>
                <w:szCs w:val="21"/>
              </w:rPr>
              <w:t>购、赎回申请等措施。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bottom w:val="single" w:color="auto" w:sz="4" w:space="0"/>
            </w:tcBorders>
            <w:noWrap w:val="0"/>
            <w:vAlign w:val="center"/>
          </w:tcPr>
          <w:p>
            <w:pPr>
              <w:pStyle w:val="45"/>
              <w:kinsoku w:val="0"/>
              <w:overflowPunct w:val="0"/>
              <w:spacing w:before="18"/>
              <w:ind w:left="55" w:leftChars="0"/>
              <w:jc w:val="both"/>
              <w:rPr>
                <w:rFonts w:hint="eastAsia" w:ascii="楷体" w:hAnsi="楷体" w:eastAsia="楷体" w:cs="宋体"/>
                <w:b/>
                <w:spacing w:val="-2"/>
                <w:sz w:val="21"/>
                <w:szCs w:val="21"/>
                <w:highlight w:val="none"/>
              </w:rPr>
            </w:pPr>
            <w:r>
              <w:rPr>
                <w:rFonts w:hint="eastAsia" w:ascii="楷体" w:hAnsi="楷体" w:eastAsia="楷体" w:cs="宋体"/>
                <w:b/>
                <w:spacing w:val="-2"/>
                <w:sz w:val="21"/>
                <w:szCs w:val="21"/>
                <w:highlight w:val="none"/>
              </w:rPr>
              <w:t>收益分配</w:t>
            </w:r>
          </w:p>
        </w:tc>
        <w:tc>
          <w:tcPr>
            <w:tcW w:w="6614" w:type="dxa"/>
            <w:tcBorders>
              <w:bottom w:val="single" w:color="auto" w:sz="4" w:space="0"/>
            </w:tcBorders>
            <w:noWrap w:val="0"/>
            <w:vAlign w:val="center"/>
          </w:tcPr>
          <w:p>
            <w:pPr>
              <w:ind w:left="59" w:leftChars="0" w:right="73" w:rightChars="35"/>
              <w:rPr>
                <w:rFonts w:hint="eastAsia" w:ascii="楷体" w:hAnsi="楷体" w:eastAsia="楷体" w:cs="宋体"/>
                <w:spacing w:val="-2"/>
                <w:szCs w:val="21"/>
                <w:highlight w:val="none"/>
              </w:rPr>
            </w:pPr>
            <w:r>
              <w:rPr>
                <w:rFonts w:hint="eastAsia" w:ascii="楷体" w:hAnsi="楷体" w:eastAsia="楷体" w:cs="宋体"/>
                <w:spacing w:val="-2"/>
                <w:szCs w:val="21"/>
                <w:highlight w:val="none"/>
              </w:rPr>
              <w:t>本产品无分红机制，投资运作情况体现为产品净值变化。产品投资运作</w:t>
            </w:r>
          </w:p>
          <w:p>
            <w:pPr>
              <w:ind w:left="59" w:leftChars="0" w:right="73" w:rightChars="35"/>
              <w:rPr>
                <w:rFonts w:hint="eastAsia" w:ascii="楷体" w:hAnsi="楷体" w:eastAsia="楷体" w:cs="宋体"/>
                <w:spacing w:val="-2"/>
                <w:szCs w:val="21"/>
                <w:highlight w:val="none"/>
              </w:rPr>
            </w:pPr>
            <w:r>
              <w:rPr>
                <w:rFonts w:hint="eastAsia" w:ascii="楷体" w:hAnsi="楷体" w:eastAsia="楷体" w:cs="宋体"/>
                <w:spacing w:val="-2"/>
                <w:szCs w:val="21"/>
                <w:highlight w:val="none"/>
              </w:rPr>
              <w:t>到期，投资收益扣除相关费用后，全部分配给投资者。详见下文“十</w:t>
            </w:r>
            <w:r>
              <w:rPr>
                <w:rFonts w:hint="eastAsia" w:ascii="楷体" w:hAnsi="楷体" w:eastAsia="楷体" w:cs="宋体"/>
                <w:spacing w:val="-2"/>
                <w:szCs w:val="21"/>
                <w:highlight w:val="none"/>
                <w:lang w:val="en-US" w:eastAsia="zh-CN"/>
              </w:rPr>
              <w:t>一</w:t>
            </w:r>
            <w:r>
              <w:rPr>
                <w:rFonts w:hint="eastAsia" w:ascii="楷体" w:hAnsi="楷体" w:eastAsia="楷体" w:cs="宋体"/>
                <w:spacing w:val="-2"/>
                <w:szCs w:val="21"/>
                <w:highlight w:val="none"/>
              </w:rPr>
              <w:t>、</w:t>
            </w:r>
          </w:p>
          <w:p>
            <w:pPr>
              <w:ind w:left="59" w:leftChars="0" w:right="73" w:rightChars="35"/>
              <w:rPr>
                <w:rFonts w:hint="eastAsia" w:ascii="楷体" w:hAnsi="楷体" w:eastAsia="楷体" w:cs="宋体"/>
                <w:spacing w:val="-2"/>
                <w:szCs w:val="21"/>
                <w:highlight w:val="none"/>
              </w:rPr>
            </w:pPr>
            <w:r>
              <w:rPr>
                <w:rFonts w:hint="eastAsia" w:ascii="楷体" w:hAnsi="楷体" w:eastAsia="楷体" w:cs="宋体"/>
                <w:spacing w:val="-2"/>
                <w:szCs w:val="21"/>
                <w:highlight w:val="none"/>
              </w:rPr>
              <w:t>产品的终止与清算”。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top w:val="single" w:color="auto" w:sz="4" w:space="0"/>
              <w:left w:val="single" w:color="auto" w:sz="4" w:space="0"/>
              <w:bottom w:val="single" w:color="auto" w:sz="4" w:space="0"/>
              <w:right w:val="single" w:color="auto" w:sz="4" w:space="0"/>
            </w:tcBorders>
            <w:noWrap w:val="0"/>
            <w:vAlign w:val="center"/>
          </w:tcPr>
          <w:p>
            <w:pPr>
              <w:pStyle w:val="45"/>
              <w:kinsoku w:val="0"/>
              <w:overflowPunct w:val="0"/>
              <w:spacing w:before="18"/>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信息披露</w:t>
            </w:r>
          </w:p>
        </w:tc>
        <w:tc>
          <w:tcPr>
            <w:tcW w:w="6614" w:type="dxa"/>
            <w:tcBorders>
              <w:top w:val="single" w:color="auto" w:sz="4" w:space="0"/>
              <w:left w:val="single" w:color="auto" w:sz="4" w:space="0"/>
              <w:bottom w:val="single" w:color="auto" w:sz="4" w:space="0"/>
              <w:right w:val="single" w:color="auto" w:sz="4" w:space="0"/>
            </w:tcBorders>
            <w:noWrap w:val="0"/>
            <w:vAlign w:val="center"/>
          </w:tcPr>
          <w:p>
            <w:pPr>
              <w:ind w:left="59" w:right="73" w:rightChars="35"/>
              <w:rPr>
                <w:rFonts w:hint="eastAsia" w:ascii="楷体" w:hAnsi="楷体" w:eastAsia="楷体" w:cs="宋体"/>
                <w:spacing w:val="-2"/>
                <w:szCs w:val="21"/>
              </w:rPr>
            </w:pPr>
            <w:r>
              <w:rPr>
                <w:rFonts w:hint="eastAsia" w:ascii="楷体" w:hAnsi="楷体" w:eastAsia="楷体" w:cs="宋体"/>
                <w:spacing w:val="-2"/>
                <w:szCs w:val="21"/>
              </w:rPr>
              <w:t>管理人将按照《理财产品说明书》中约定的方式进行信息披露，详见下文“十五、信息披露”。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top w:val="single" w:color="auto" w:sz="4" w:space="0"/>
              <w:left w:val="single" w:color="auto" w:sz="4" w:space="0"/>
              <w:bottom w:val="single" w:color="auto" w:sz="4" w:space="0"/>
              <w:right w:val="single" w:color="auto" w:sz="4" w:space="0"/>
            </w:tcBorders>
            <w:noWrap w:val="0"/>
            <w:vAlign w:val="center"/>
          </w:tcPr>
          <w:p>
            <w:pPr>
              <w:pStyle w:val="45"/>
              <w:kinsoku w:val="0"/>
              <w:overflowPunct w:val="0"/>
              <w:spacing w:before="18"/>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税款</w:t>
            </w:r>
          </w:p>
        </w:tc>
        <w:tc>
          <w:tcPr>
            <w:tcW w:w="6614" w:type="dxa"/>
            <w:tcBorders>
              <w:top w:val="single" w:color="auto" w:sz="4" w:space="0"/>
              <w:left w:val="single" w:color="auto" w:sz="4" w:space="0"/>
              <w:bottom w:val="single" w:color="auto" w:sz="4" w:space="0"/>
              <w:right w:val="single" w:color="auto" w:sz="4" w:space="0"/>
            </w:tcBorders>
            <w:noWrap w:val="0"/>
            <w:vAlign w:val="center"/>
          </w:tcPr>
          <w:p>
            <w:pPr>
              <w:ind w:left="59" w:right="73" w:rightChars="35"/>
              <w:rPr>
                <w:rFonts w:hint="eastAsia" w:ascii="楷体" w:hAnsi="楷体" w:eastAsia="楷体" w:cs="宋体"/>
                <w:spacing w:val="-2"/>
                <w:szCs w:val="21"/>
              </w:rPr>
            </w:pPr>
            <w:r>
              <w:rPr>
                <w:rFonts w:hint="eastAsia" w:ascii="楷体" w:hAnsi="楷体" w:eastAsia="楷体" w:cs="宋体"/>
                <w:spacing w:val="-2"/>
                <w:szCs w:val="21"/>
              </w:rPr>
              <w:t>本产品运作过程中涉及的各纳税主体，其纳税义务按国家税收法律、法规执行。详见下文“十三、税收规定”。</w:t>
            </w:r>
          </w:p>
        </w:tc>
      </w:tr>
    </w:tbl>
    <w:p>
      <w:pPr>
        <w:numPr>
          <w:ilvl w:val="0"/>
          <w:numId w:val="3"/>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产品管理人</w:t>
      </w:r>
    </w:p>
    <w:p>
      <w:pPr>
        <w:ind w:firstLine="480" w:firstLineChars="200"/>
        <w:rPr>
          <w:rFonts w:ascii="楷体" w:hAnsi="楷体" w:eastAsia="楷体"/>
          <w:sz w:val="24"/>
          <w:szCs w:val="24"/>
        </w:rPr>
      </w:pPr>
      <w:r>
        <w:rPr>
          <w:rFonts w:hint="eastAsia" w:ascii="楷体" w:hAnsi="楷体" w:eastAsia="楷体"/>
          <w:sz w:val="24"/>
          <w:szCs w:val="24"/>
        </w:rPr>
        <w:t>本产品管理人为苏银理财有限责任公司，</w:t>
      </w:r>
      <w:r>
        <w:rPr>
          <w:rFonts w:hint="eastAsia" w:ascii="楷体" w:hAnsi="楷体" w:eastAsia="楷体"/>
          <w:sz w:val="24"/>
          <w:szCs w:val="24"/>
          <w:highlight w:val="none"/>
        </w:rPr>
        <w:t>苏银理财系江苏银行股份有限公司全资控股的银行理财子公司。公</w:t>
      </w:r>
      <w:r>
        <w:rPr>
          <w:rFonts w:hint="eastAsia" w:ascii="楷体" w:hAnsi="楷体" w:eastAsia="楷体"/>
          <w:sz w:val="24"/>
          <w:szCs w:val="24"/>
        </w:rPr>
        <w:t>司成立于2020年8月，注册资本为20亿元人民币，全部由江苏银行股份有限公司以货币资金认购并一次性足额缴纳。公司注册地为江苏省南京市。公司主要业务范围为：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sz w:val="24"/>
          <w:szCs w:val="24"/>
          <w:lang w:val="en-US" w:eastAsia="zh-CN"/>
        </w:rPr>
        <w:t>监管机构</w:t>
      </w:r>
      <w:r>
        <w:rPr>
          <w:rFonts w:hint="eastAsia" w:ascii="楷体" w:hAnsi="楷体" w:eastAsia="楷体"/>
          <w:sz w:val="24"/>
          <w:szCs w:val="24"/>
        </w:rPr>
        <w:t>批准的其他业务等。</w:t>
      </w:r>
    </w:p>
    <w:p>
      <w:pPr>
        <w:ind w:firstLine="480" w:firstLineChars="200"/>
        <w:rPr>
          <w:rFonts w:ascii="楷体" w:hAnsi="楷体" w:eastAsia="楷体"/>
          <w:sz w:val="24"/>
          <w:szCs w:val="24"/>
        </w:rPr>
      </w:pPr>
      <w:r>
        <w:rPr>
          <w:rFonts w:hint="eastAsia" w:ascii="楷体" w:hAnsi="楷体" w:eastAsia="楷体"/>
          <w:sz w:val="24"/>
          <w:szCs w:val="24"/>
        </w:rPr>
        <w:t>投资</w:t>
      </w:r>
      <w:r>
        <w:rPr>
          <w:rFonts w:ascii="楷体" w:hAnsi="楷体" w:eastAsia="楷体"/>
          <w:sz w:val="24"/>
          <w:szCs w:val="24"/>
        </w:rPr>
        <w:t>者</w:t>
      </w:r>
      <w:r>
        <w:rPr>
          <w:rFonts w:hint="eastAsia" w:ascii="楷体" w:hAnsi="楷体" w:eastAsia="楷体"/>
          <w:sz w:val="24"/>
          <w:szCs w:val="24"/>
        </w:rPr>
        <w:t>在此</w:t>
      </w:r>
      <w:r>
        <w:rPr>
          <w:rFonts w:ascii="楷体" w:hAnsi="楷体" w:eastAsia="楷体"/>
          <w:sz w:val="24"/>
          <w:szCs w:val="24"/>
        </w:rPr>
        <w:t>授权并同意苏银理财享有以下权利：</w:t>
      </w:r>
    </w:p>
    <w:p>
      <w:pPr>
        <w:numPr>
          <w:ilvl w:val="0"/>
          <w:numId w:val="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按照</w:t>
      </w:r>
      <w:r>
        <w:rPr>
          <w:rFonts w:ascii="楷体" w:hAnsi="楷体" w:eastAsia="楷体" w:cs="Calibri"/>
          <w:sz w:val="24"/>
          <w:szCs w:val="24"/>
        </w:rPr>
        <w:t>本理财产品合同</w:t>
      </w:r>
      <w:r>
        <w:rPr>
          <w:rFonts w:hint="eastAsia" w:ascii="楷体" w:hAnsi="楷体" w:eastAsia="楷体" w:cs="Calibri"/>
          <w:sz w:val="24"/>
          <w:szCs w:val="24"/>
        </w:rPr>
        <w:t>的</w:t>
      </w:r>
      <w:r>
        <w:rPr>
          <w:rFonts w:ascii="楷体" w:hAnsi="楷体" w:eastAsia="楷体" w:cs="Calibri"/>
          <w:sz w:val="24"/>
          <w:szCs w:val="24"/>
        </w:rPr>
        <w:t>约定，管理、运用和处分理财计划资金。</w:t>
      </w:r>
    </w:p>
    <w:p>
      <w:pPr>
        <w:numPr>
          <w:ilvl w:val="0"/>
          <w:numId w:val="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按照</w:t>
      </w:r>
      <w:r>
        <w:rPr>
          <w:rFonts w:ascii="楷体" w:hAnsi="楷体" w:eastAsia="楷体" w:cs="Calibri"/>
          <w:sz w:val="24"/>
          <w:szCs w:val="24"/>
        </w:rPr>
        <w:t>本理财</w:t>
      </w:r>
      <w:r>
        <w:rPr>
          <w:rFonts w:hint="eastAsia" w:ascii="楷体" w:hAnsi="楷体" w:eastAsia="楷体" w:cs="Calibri"/>
          <w:sz w:val="24"/>
          <w:szCs w:val="24"/>
        </w:rPr>
        <w:t>产品</w:t>
      </w:r>
      <w:r>
        <w:rPr>
          <w:rFonts w:ascii="楷体" w:hAnsi="楷体" w:eastAsia="楷体" w:cs="Calibri"/>
          <w:sz w:val="24"/>
          <w:szCs w:val="24"/>
        </w:rPr>
        <w:t>合同的约定，及时、足额获得投资管理费。</w:t>
      </w:r>
    </w:p>
    <w:p>
      <w:pPr>
        <w:numPr>
          <w:ilvl w:val="0"/>
          <w:numId w:val="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管理人</w:t>
      </w:r>
      <w:r>
        <w:rPr>
          <w:rFonts w:ascii="楷体" w:hAnsi="楷体" w:eastAsia="楷体" w:cs="Calibri"/>
          <w:sz w:val="24"/>
          <w:szCs w:val="24"/>
        </w:rPr>
        <w:t>有权根据本理财产品合同的约定提前终止</w:t>
      </w:r>
      <w:r>
        <w:rPr>
          <w:rFonts w:hint="eastAsia" w:ascii="楷体" w:hAnsi="楷体" w:eastAsia="楷体" w:cs="Calibri"/>
          <w:sz w:val="24"/>
          <w:szCs w:val="24"/>
        </w:rPr>
        <w:t>或</w:t>
      </w:r>
      <w:r>
        <w:rPr>
          <w:rFonts w:ascii="楷体" w:hAnsi="楷体" w:eastAsia="楷体" w:cs="Calibri"/>
          <w:sz w:val="24"/>
          <w:szCs w:val="24"/>
        </w:rPr>
        <w:t>延长</w:t>
      </w:r>
      <w:r>
        <w:rPr>
          <w:rFonts w:hint="eastAsia" w:ascii="楷体" w:hAnsi="楷体" w:eastAsia="楷体" w:cs="Calibri"/>
          <w:sz w:val="24"/>
          <w:szCs w:val="24"/>
        </w:rPr>
        <w:t>本</w:t>
      </w:r>
      <w:r>
        <w:rPr>
          <w:rFonts w:ascii="楷体" w:hAnsi="楷体" w:eastAsia="楷体" w:cs="Calibri"/>
          <w:sz w:val="24"/>
          <w:szCs w:val="24"/>
        </w:rPr>
        <w:t>理财产品的期限。</w:t>
      </w:r>
    </w:p>
    <w:p>
      <w:pPr>
        <w:numPr>
          <w:ilvl w:val="0"/>
          <w:numId w:val="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管理人</w:t>
      </w:r>
      <w:r>
        <w:rPr>
          <w:rFonts w:ascii="楷体" w:hAnsi="楷体" w:eastAsia="楷体" w:cs="Calibri"/>
          <w:sz w:val="24"/>
          <w:szCs w:val="24"/>
        </w:rPr>
        <w:t>有权</w:t>
      </w:r>
      <w:r>
        <w:rPr>
          <w:rFonts w:hint="eastAsia" w:ascii="楷体" w:hAnsi="楷体" w:eastAsia="楷体" w:cs="Calibri"/>
          <w:sz w:val="24"/>
          <w:szCs w:val="24"/>
        </w:rPr>
        <w:t>调整</w:t>
      </w:r>
      <w:r>
        <w:rPr>
          <w:rFonts w:ascii="楷体" w:hAnsi="楷体" w:eastAsia="楷体" w:cs="Calibri"/>
          <w:sz w:val="24"/>
          <w:szCs w:val="24"/>
        </w:rPr>
        <w:t>本</w:t>
      </w:r>
      <w:r>
        <w:rPr>
          <w:rFonts w:hint="eastAsia" w:ascii="楷体" w:hAnsi="楷体" w:eastAsia="楷体" w:cs="Calibri"/>
          <w:sz w:val="24"/>
          <w:szCs w:val="24"/>
        </w:rPr>
        <w:t>理财</w:t>
      </w:r>
      <w:r>
        <w:rPr>
          <w:rFonts w:ascii="楷体" w:hAnsi="楷体" w:eastAsia="楷体" w:cs="Calibri"/>
          <w:sz w:val="24"/>
          <w:szCs w:val="24"/>
        </w:rPr>
        <w:t>产品的认购规模</w:t>
      </w:r>
      <w:r>
        <w:rPr>
          <w:rFonts w:hint="eastAsia" w:ascii="楷体" w:hAnsi="楷体" w:eastAsia="楷体" w:cs="Calibri"/>
          <w:sz w:val="24"/>
          <w:szCs w:val="24"/>
        </w:rPr>
        <w:t>上限</w:t>
      </w:r>
      <w:r>
        <w:rPr>
          <w:rFonts w:ascii="楷体" w:hAnsi="楷体" w:eastAsia="楷体" w:cs="Calibri"/>
          <w:sz w:val="24"/>
          <w:szCs w:val="24"/>
        </w:rPr>
        <w:t>、认购起点、</w:t>
      </w:r>
      <w:r>
        <w:rPr>
          <w:rFonts w:hint="eastAsia" w:ascii="楷体" w:hAnsi="楷体" w:eastAsia="楷体" w:cs="Calibri"/>
          <w:sz w:val="24"/>
          <w:szCs w:val="24"/>
        </w:rPr>
        <w:t>认购</w:t>
      </w:r>
      <w:r>
        <w:rPr>
          <w:rFonts w:ascii="楷体" w:hAnsi="楷体" w:eastAsia="楷体" w:cs="Calibri"/>
          <w:sz w:val="24"/>
          <w:szCs w:val="24"/>
        </w:rPr>
        <w:t>金额上限、认购资金的</w:t>
      </w:r>
      <w:r>
        <w:rPr>
          <w:rFonts w:hint="eastAsia" w:ascii="楷体" w:hAnsi="楷体" w:eastAsia="楷体" w:cs="Calibri"/>
          <w:sz w:val="24"/>
          <w:szCs w:val="24"/>
          <w:lang w:val="en-US" w:eastAsia="zh-CN"/>
        </w:rPr>
        <w:t>最低</w:t>
      </w:r>
      <w:r>
        <w:rPr>
          <w:rFonts w:ascii="楷体" w:hAnsi="楷体" w:eastAsia="楷体" w:cs="Calibri"/>
          <w:sz w:val="24"/>
          <w:szCs w:val="24"/>
        </w:rPr>
        <w:t>金额等</w:t>
      </w:r>
      <w:r>
        <w:rPr>
          <w:rFonts w:hint="eastAsia" w:ascii="楷体" w:hAnsi="楷体" w:eastAsia="楷体" w:cs="Calibri"/>
          <w:sz w:val="24"/>
          <w:szCs w:val="24"/>
        </w:rPr>
        <w:t>要素</w:t>
      </w:r>
      <w:r>
        <w:rPr>
          <w:rFonts w:ascii="楷体" w:hAnsi="楷体" w:eastAsia="楷体" w:cs="Calibri"/>
          <w:sz w:val="24"/>
          <w:szCs w:val="24"/>
        </w:rPr>
        <w:t>。</w:t>
      </w:r>
    </w:p>
    <w:p>
      <w:pPr>
        <w:numPr>
          <w:ilvl w:val="0"/>
          <w:numId w:val="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管理人</w:t>
      </w:r>
      <w:r>
        <w:rPr>
          <w:rFonts w:ascii="楷体" w:hAnsi="楷体" w:eastAsia="楷体" w:cs="Calibri"/>
          <w:sz w:val="24"/>
          <w:szCs w:val="24"/>
        </w:rPr>
        <w:t>有权依照法律规定和监管机构的要求将投资者的信息向有权部门或相关机构披露。</w:t>
      </w:r>
    </w:p>
    <w:p>
      <w:pPr>
        <w:numPr>
          <w:ilvl w:val="0"/>
          <w:numId w:val="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以</w:t>
      </w:r>
      <w:r>
        <w:rPr>
          <w:rFonts w:ascii="楷体" w:hAnsi="楷体" w:eastAsia="楷体" w:cs="Calibri"/>
          <w:sz w:val="24"/>
          <w:szCs w:val="24"/>
        </w:rPr>
        <w:t>理财产品投资管理人的名义，依照法律法规相关规定以及为理财产品的利益，对被投资的各类基金、公司/</w:t>
      </w:r>
      <w:r>
        <w:rPr>
          <w:rFonts w:hint="eastAsia" w:ascii="楷体" w:hAnsi="楷体" w:eastAsia="楷体" w:cs="Calibri"/>
          <w:sz w:val="24"/>
          <w:szCs w:val="24"/>
        </w:rPr>
        <w:t>企业</w:t>
      </w:r>
      <w:r>
        <w:rPr>
          <w:rFonts w:ascii="楷体" w:hAnsi="楷体" w:eastAsia="楷体" w:cs="Calibri"/>
          <w:sz w:val="24"/>
          <w:szCs w:val="24"/>
        </w:rPr>
        <w:t>等</w:t>
      </w:r>
      <w:r>
        <w:rPr>
          <w:rFonts w:hint="eastAsia" w:ascii="楷体" w:hAnsi="楷体" w:eastAsia="楷体" w:cs="Calibri"/>
          <w:sz w:val="24"/>
          <w:szCs w:val="24"/>
        </w:rPr>
        <w:t>行使</w:t>
      </w:r>
      <w:r>
        <w:rPr>
          <w:rFonts w:ascii="楷体" w:hAnsi="楷体" w:eastAsia="楷体" w:cs="Calibri"/>
          <w:sz w:val="24"/>
          <w:szCs w:val="24"/>
        </w:rPr>
        <w:t>出资人</w:t>
      </w:r>
      <w:r>
        <w:rPr>
          <w:rFonts w:hint="eastAsia" w:ascii="楷体" w:hAnsi="楷体" w:eastAsia="楷体" w:cs="Calibri"/>
          <w:sz w:val="24"/>
          <w:szCs w:val="24"/>
        </w:rPr>
        <w:t>/投资者</w:t>
      </w:r>
      <w:r>
        <w:rPr>
          <w:rFonts w:ascii="楷体" w:hAnsi="楷体" w:eastAsia="楷体" w:cs="Calibri"/>
          <w:sz w:val="24"/>
          <w:szCs w:val="24"/>
        </w:rPr>
        <w:t>权利（</w:t>
      </w:r>
      <w:r>
        <w:rPr>
          <w:rFonts w:hint="eastAsia" w:ascii="楷体" w:hAnsi="楷体" w:eastAsia="楷体" w:cs="Calibri"/>
          <w:sz w:val="24"/>
          <w:szCs w:val="24"/>
        </w:rPr>
        <w:t>包括</w:t>
      </w:r>
      <w:r>
        <w:rPr>
          <w:rFonts w:ascii="楷体" w:hAnsi="楷体" w:eastAsia="楷体" w:cs="Calibri"/>
          <w:sz w:val="24"/>
          <w:szCs w:val="24"/>
        </w:rPr>
        <w:t>但不限于表决投票的权利）</w:t>
      </w:r>
      <w:r>
        <w:rPr>
          <w:rFonts w:hint="eastAsia" w:ascii="楷体" w:hAnsi="楷体" w:eastAsia="楷体" w:cs="Calibri"/>
          <w:sz w:val="24"/>
          <w:szCs w:val="24"/>
        </w:rPr>
        <w:t>以及行使</w:t>
      </w:r>
      <w:r>
        <w:rPr>
          <w:rFonts w:ascii="楷体" w:hAnsi="楷体" w:eastAsia="楷体" w:cs="Calibri"/>
          <w:sz w:val="24"/>
          <w:szCs w:val="24"/>
        </w:rPr>
        <w:t>因理财产品投资于证券类基础资产（</w:t>
      </w:r>
      <w:r>
        <w:rPr>
          <w:rFonts w:hint="eastAsia" w:ascii="楷体" w:hAnsi="楷体" w:eastAsia="楷体" w:cs="Calibri"/>
          <w:sz w:val="24"/>
          <w:szCs w:val="24"/>
        </w:rPr>
        <w:t>含</w:t>
      </w:r>
      <w:r>
        <w:rPr>
          <w:rFonts w:ascii="楷体" w:hAnsi="楷体" w:eastAsia="楷体" w:cs="Calibri"/>
          <w:sz w:val="24"/>
          <w:szCs w:val="24"/>
        </w:rPr>
        <w:t>债券）</w:t>
      </w:r>
      <w:r>
        <w:rPr>
          <w:rFonts w:hint="eastAsia" w:ascii="楷体" w:hAnsi="楷体" w:eastAsia="楷体" w:cs="Calibri"/>
          <w:sz w:val="24"/>
          <w:szCs w:val="24"/>
        </w:rPr>
        <w:t>或</w:t>
      </w:r>
      <w:r>
        <w:rPr>
          <w:rFonts w:ascii="楷体" w:hAnsi="楷体" w:eastAsia="楷体" w:cs="Calibri"/>
          <w:sz w:val="24"/>
          <w:szCs w:val="24"/>
        </w:rPr>
        <w:t>其他基础资产（</w:t>
      </w:r>
      <w:r>
        <w:rPr>
          <w:rFonts w:hint="eastAsia" w:ascii="楷体" w:hAnsi="楷体" w:eastAsia="楷体" w:cs="Calibri"/>
          <w:sz w:val="24"/>
          <w:szCs w:val="24"/>
        </w:rPr>
        <w:t>包括</w:t>
      </w:r>
      <w:r>
        <w:rPr>
          <w:rFonts w:ascii="楷体" w:hAnsi="楷体" w:eastAsia="楷体" w:cs="Calibri"/>
          <w:sz w:val="24"/>
          <w:szCs w:val="24"/>
        </w:rPr>
        <w:t>但不限于债权类资产）</w:t>
      </w:r>
      <w:r>
        <w:rPr>
          <w:rFonts w:hint="eastAsia" w:ascii="楷体" w:hAnsi="楷体" w:eastAsia="楷体" w:cs="Calibri"/>
          <w:sz w:val="24"/>
          <w:szCs w:val="24"/>
        </w:rPr>
        <w:t>所产生</w:t>
      </w:r>
      <w:r>
        <w:rPr>
          <w:rFonts w:ascii="楷体" w:hAnsi="楷体" w:eastAsia="楷体" w:cs="Calibri"/>
          <w:sz w:val="24"/>
          <w:szCs w:val="24"/>
        </w:rPr>
        <w:t>的相关权利。</w:t>
      </w:r>
    </w:p>
    <w:p>
      <w:pPr>
        <w:numPr>
          <w:ilvl w:val="0"/>
          <w:numId w:val="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以</w:t>
      </w:r>
      <w:r>
        <w:rPr>
          <w:rFonts w:ascii="楷体" w:hAnsi="楷体" w:eastAsia="楷体" w:cs="Calibri"/>
          <w:sz w:val="24"/>
          <w:szCs w:val="24"/>
        </w:rPr>
        <w:t>理财产品投资管理人的名义，依照</w:t>
      </w:r>
      <w:r>
        <w:rPr>
          <w:rFonts w:hint="eastAsia" w:ascii="楷体" w:hAnsi="楷体" w:eastAsia="楷体" w:cs="Calibri"/>
          <w:sz w:val="24"/>
          <w:szCs w:val="24"/>
        </w:rPr>
        <w:t>法律法规相关规定以及代表理财产品份额持有人的利益行使代为追索的权利（包括但不限于提起诉讼/仲裁、申请保全/执行的权利）或者实施其他法律行为。</w:t>
      </w:r>
    </w:p>
    <w:p>
      <w:pPr>
        <w:numPr>
          <w:ilvl w:val="0"/>
          <w:numId w:val="4"/>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法律法规、监管政策和本理财计划文件约定的其他权利。</w:t>
      </w:r>
    </w:p>
    <w:p>
      <w:pPr>
        <w:numPr>
          <w:ilvl w:val="0"/>
          <w:numId w:val="3"/>
        </w:numPr>
        <w:tabs>
          <w:tab w:val="left" w:pos="1134"/>
        </w:tabs>
        <w:ind w:firstLine="562" w:firstLineChars="200"/>
        <w:outlineLvl w:val="0"/>
        <w:rPr>
          <w:rFonts w:hint="eastAsia" w:ascii="楷体" w:hAnsi="楷体" w:eastAsia="楷体"/>
          <w:b/>
          <w:sz w:val="28"/>
          <w:szCs w:val="28"/>
          <w:highlight w:val="none"/>
        </w:rPr>
      </w:pPr>
      <w:r>
        <w:rPr>
          <w:rFonts w:hint="eastAsia" w:ascii="楷体" w:hAnsi="楷体" w:eastAsia="楷体"/>
          <w:b/>
          <w:sz w:val="28"/>
          <w:szCs w:val="28"/>
          <w:highlight w:val="none"/>
        </w:rPr>
        <w:t>销售机构</w:t>
      </w:r>
    </w:p>
    <w:p>
      <w:pPr>
        <w:ind w:firstLine="480" w:firstLineChars="200"/>
        <w:rPr>
          <w:rFonts w:hint="eastAsia" w:ascii="楷体" w:hAnsi="楷体" w:eastAsia="楷体"/>
          <w:b w:val="0"/>
          <w:bCs w:val="0"/>
          <w:sz w:val="24"/>
          <w:szCs w:val="24"/>
          <w:highlight w:val="yellow"/>
          <w:u w:val="none"/>
          <w:lang w:val="en-US" w:eastAsia="zh-CN"/>
        </w:rPr>
      </w:pPr>
      <w:r>
        <w:rPr>
          <w:rFonts w:hint="eastAsia" w:ascii="楷体" w:hAnsi="楷体" w:eastAsia="楷体"/>
          <w:sz w:val="24"/>
          <w:szCs w:val="24"/>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bCs/>
          <w:sz w:val="24"/>
          <w:szCs w:val="24"/>
          <w:u w:val="single"/>
        </w:rPr>
        <w:t>销售机构负责理财产品宣传推广、投资者风险承受能力评估和投资者适当性管理、理财产品客户身份识别及反洗钱、反恐怖融资及非居民金融账户涉税信息调查、理财产品份额认购/申购/赎回、协助管理人与投资者订立理财产品合同、协助投资者与管理人沟通、接受投资者咨询和客户维护等销售服务工作。销售机构不承担产品投资、兑付和风险管理责任，产品的投资、兑付和风险管理责任由管理人苏银理财承担。</w:t>
      </w:r>
      <w:r>
        <w:rPr>
          <w:rFonts w:hint="eastAsia" w:ascii="楷体" w:hAnsi="楷体" w:eastAsia="楷体"/>
          <w:b w:val="0"/>
          <w:bCs w:val="0"/>
          <w:sz w:val="24"/>
          <w:szCs w:val="24"/>
          <w:highlight w:val="none"/>
          <w:u w:val="none"/>
          <w:lang w:val="en-US" w:eastAsia="zh-CN"/>
        </w:rPr>
        <w:t>本产品各份额销售机构如下：</w:t>
      </w:r>
    </w:p>
    <w:tbl>
      <w:tblPr>
        <w:tblStyle w:val="14"/>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86"/>
        <w:gridCol w:w="3717"/>
        <w:gridCol w:w="38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ascii="楷体" w:hAnsi="楷体" w:eastAsia="楷体" w:cs="楷体"/>
                <w:b/>
                <w:bCs/>
                <w:i w:val="0"/>
                <w:iCs w:val="0"/>
                <w:color w:val="000000"/>
                <w:sz w:val="18"/>
                <w:szCs w:val="18"/>
                <w:u w:val="none"/>
              </w:rPr>
            </w:pPr>
            <w:r>
              <w:rPr>
                <w:rFonts w:hint="eastAsia" w:ascii="楷体" w:hAnsi="楷体" w:eastAsia="楷体" w:cs="楷体"/>
                <w:b/>
                <w:bCs/>
                <w:i w:val="0"/>
                <w:iCs w:val="0"/>
                <w:color w:val="000000"/>
                <w:kern w:val="0"/>
                <w:sz w:val="18"/>
                <w:szCs w:val="18"/>
                <w:u w:val="none"/>
                <w:lang w:val="en-US" w:eastAsia="zh-CN" w:bidi="ar"/>
              </w:rPr>
              <w:t>份额</w:t>
            </w:r>
          </w:p>
        </w:tc>
        <w:tc>
          <w:tcPr>
            <w:tcW w:w="4421"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b/>
                <w:bCs/>
                <w:i w:val="0"/>
                <w:iCs w:val="0"/>
                <w:color w:val="000000"/>
                <w:sz w:val="18"/>
                <w:szCs w:val="18"/>
                <w:u w:val="none"/>
              </w:rPr>
            </w:pPr>
            <w:r>
              <w:rPr>
                <w:rFonts w:hint="eastAsia" w:ascii="楷体" w:hAnsi="楷体" w:eastAsia="楷体" w:cs="楷体"/>
                <w:b/>
                <w:bCs/>
                <w:i w:val="0"/>
                <w:iCs w:val="0"/>
                <w:color w:val="000000"/>
                <w:kern w:val="0"/>
                <w:sz w:val="18"/>
                <w:szCs w:val="18"/>
                <w:u w:val="none"/>
                <w:lang w:val="en-US" w:eastAsia="zh-CN" w:bidi="ar"/>
              </w:rPr>
              <w:t>销售机构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restart"/>
            <w:tcBorders>
              <w:top w:val="single" w:color="000000" w:sz="4" w:space="0"/>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kern w:val="0"/>
                <w:sz w:val="18"/>
                <w:szCs w:val="18"/>
                <w:u w:val="none"/>
                <w:lang w:val="en-US" w:eastAsia="zh-CN" w:bidi="ar"/>
              </w:rPr>
              <w:t>A份额</w:t>
            </w:r>
          </w:p>
        </w:tc>
        <w:tc>
          <w:tcPr>
            <w:tcW w:w="2181" w:type="pct"/>
            <w:tcBorders>
              <w:top w:val="single" w:color="000000"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江苏银行股份有限公司</w:t>
            </w:r>
          </w:p>
        </w:tc>
        <w:tc>
          <w:tcPr>
            <w:tcW w:w="2239" w:type="pct"/>
            <w:tcBorders>
              <w:top w:val="single" w:color="000000"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江苏宜兴农村商业银行股份有限公司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江苏镇江农村商业银行股份有限公司</w:t>
            </w:r>
          </w:p>
        </w:tc>
        <w:tc>
          <w:tcPr>
            <w:tcW w:w="2239"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江苏盱眙农村商业银行股份有限公司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兴业银行股份有限公司</w:t>
            </w:r>
          </w:p>
        </w:tc>
        <w:tc>
          <w:tcPr>
            <w:tcW w:w="2239"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江苏沭阳农村商业银行股份有限公司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江苏扬州农村商业银行股份有限公司</w:t>
            </w:r>
          </w:p>
        </w:tc>
        <w:tc>
          <w:tcPr>
            <w:tcW w:w="2239"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江苏句容农村商业银行股份有限公司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江苏靖江农村商业银行股份有限公司</w:t>
            </w:r>
          </w:p>
        </w:tc>
        <w:tc>
          <w:tcPr>
            <w:tcW w:w="2239"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江苏涟水农村商业银行股份有限公司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深圳前海微众银行股份有限公司</w:t>
            </w:r>
          </w:p>
        </w:tc>
        <w:tc>
          <w:tcPr>
            <w:tcW w:w="2239"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兴业银行股份有限公司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江苏大丰农村商业银行股份有限公司</w:t>
            </w:r>
          </w:p>
        </w:tc>
        <w:tc>
          <w:tcPr>
            <w:tcW w:w="2239"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宁波东海银行股份有限公司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江苏苏州农村商业银行股份有限公司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江苏张家港农村商业银行股份有限公司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江苏江阴农村商业银行股份有限公司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齐鲁银行股份有限公司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上海银行股份有限公司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江苏阜宁农村商业银行股份有限公司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江苏高淳农村商业银行股份有限公司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江苏丹阳农村商业银行股份有限公司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九江银行股份有限公司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江苏新沂农村商业银行股份有限公司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江苏扬中农村商业银行股份有限公司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江苏东台农村商业银行股份有限公司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江苏如东农村商业银行股份有限公司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江苏泰兴农村商业银行股份有限公司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苏银理财有限责任公司</w:t>
            </w:r>
          </w:p>
        </w:tc>
        <w:tc>
          <w:tcPr>
            <w:tcW w:w="2239"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徐州农村商业银行股份有限公司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江苏启东农村商业银行股份有限公司</w:t>
            </w:r>
          </w:p>
        </w:tc>
        <w:tc>
          <w:tcPr>
            <w:tcW w:w="2239"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江苏南通农村商业银行股份有限公司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4" w:hRule="atLeast"/>
        </w:trPr>
        <w:tc>
          <w:tcPr>
            <w:tcW w:w="578" w:type="pct"/>
            <w:vMerge w:val="continue"/>
            <w:tcBorders>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江苏如皋农村商业银行股份有限公司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江苏洪泽农村商业银行股份有限公司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4" w:hRule="atLeast"/>
        </w:trPr>
        <w:tc>
          <w:tcPr>
            <w:tcW w:w="578" w:type="pct"/>
            <w:vMerge w:val="continue"/>
            <w:tcBorders>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江苏海安农村商业银行股份有限公司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江苏邳州农村商业银行股份有限公司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4" w:hRule="atLeast"/>
        </w:trPr>
        <w:tc>
          <w:tcPr>
            <w:tcW w:w="578" w:type="pct"/>
            <w:vMerge w:val="continue"/>
            <w:tcBorders>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江苏泗洪农村商业银行股份有限公司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江苏淮安农村商业银行股份有限公司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4" w:hRule="atLeast"/>
        </w:trPr>
        <w:tc>
          <w:tcPr>
            <w:tcW w:w="578" w:type="pct"/>
            <w:vMerge w:val="continue"/>
            <w:tcBorders>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江苏溧水农村商业银行股份有限公司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江苏紫金农村商业银行股份有限公司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4" w:hRule="atLeast"/>
        </w:trPr>
        <w:tc>
          <w:tcPr>
            <w:tcW w:w="578" w:type="pct"/>
            <w:vMerge w:val="continue"/>
            <w:tcBorders>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杭州银行股份有限公司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江苏睢宁农村商业银行股份有限公司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4" w:hRule="atLeast"/>
        </w:trPr>
        <w:tc>
          <w:tcPr>
            <w:tcW w:w="578" w:type="pct"/>
            <w:vMerge w:val="continue"/>
            <w:tcBorders>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p>
        </w:tc>
        <w:tc>
          <w:tcPr>
            <w:tcW w:w="2181" w:type="pct"/>
            <w:tcBorders>
              <w:top w:val="nil"/>
              <w:left w:val="single" w:color="auto" w:sz="4" w:space="0"/>
              <w:bottom w:val="single" w:color="auto"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江苏仪征农村商业银行股份有限公司</w:t>
            </w:r>
          </w:p>
        </w:tc>
        <w:tc>
          <w:tcPr>
            <w:tcW w:w="2239" w:type="pct"/>
            <w:tcBorders>
              <w:top w:val="nil"/>
              <w:left w:val="nil"/>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restart"/>
            <w:tcBorders>
              <w:top w:val="single" w:color="auto" w:sz="4" w:space="0"/>
              <w:left w:val="single" w:color="000000"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kern w:val="0"/>
                <w:sz w:val="18"/>
                <w:szCs w:val="18"/>
                <w:u w:val="none"/>
                <w:lang w:val="en-US" w:eastAsia="zh-CN" w:bidi="ar"/>
              </w:rPr>
              <w:t>C份额</w:t>
            </w:r>
          </w:p>
        </w:tc>
        <w:tc>
          <w:tcPr>
            <w:tcW w:w="2181" w:type="pct"/>
            <w:tcBorders>
              <w:top w:val="single" w:color="auto" w:sz="4" w:space="0"/>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威海银行股份有限公司</w:t>
            </w:r>
          </w:p>
        </w:tc>
        <w:tc>
          <w:tcPr>
            <w:tcW w:w="2239" w:type="pct"/>
            <w:tcBorders>
              <w:top w:val="single" w:color="auto" w:sz="4" w:space="0"/>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齐鲁银行股份有限公司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九江银行股份有限公司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p>
        </w:tc>
        <w:tc>
          <w:tcPr>
            <w:tcW w:w="2181" w:type="pct"/>
            <w:tcBorders>
              <w:top w:val="nil"/>
              <w:left w:val="single" w:color="auto" w:sz="4" w:space="0"/>
              <w:bottom w:val="single" w:color="auto"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苏银理财有限责任公司</w:t>
            </w:r>
          </w:p>
        </w:tc>
        <w:tc>
          <w:tcPr>
            <w:tcW w:w="2239" w:type="pct"/>
            <w:tcBorders>
              <w:top w:val="nil"/>
              <w:left w:val="nil"/>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restart"/>
            <w:tcBorders>
              <w:top w:val="single" w:color="000000" w:sz="4" w:space="0"/>
              <w:left w:val="single" w:color="000000"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kern w:val="0"/>
                <w:sz w:val="18"/>
                <w:szCs w:val="18"/>
                <w:u w:val="none"/>
                <w:lang w:val="en-US" w:eastAsia="zh-CN" w:bidi="ar"/>
              </w:rPr>
              <w:t>D份额</w:t>
            </w:r>
          </w:p>
        </w:tc>
        <w:tc>
          <w:tcPr>
            <w:tcW w:w="2181" w:type="pct"/>
            <w:tcBorders>
              <w:top w:val="single" w:color="auto" w:sz="4" w:space="0"/>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齐鲁银行股份有限公司</w:t>
            </w:r>
          </w:p>
        </w:tc>
        <w:tc>
          <w:tcPr>
            <w:tcW w:w="2239" w:type="pct"/>
            <w:tcBorders>
              <w:top w:val="single" w:color="auto" w:sz="4" w:space="0"/>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宁波东海银行股份有限公司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江苏紫金农村商业银行股份有限公司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bottom w:val="single" w:color="000000"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p>
        </w:tc>
        <w:tc>
          <w:tcPr>
            <w:tcW w:w="2181" w:type="pct"/>
            <w:tcBorders>
              <w:top w:val="nil"/>
              <w:left w:val="single" w:color="auto" w:sz="4" w:space="0"/>
              <w:bottom w:val="single" w:color="auto"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苏银理财有限责任公司</w:t>
            </w:r>
          </w:p>
        </w:tc>
        <w:tc>
          <w:tcPr>
            <w:tcW w:w="2239" w:type="pct"/>
            <w:tcBorders>
              <w:top w:val="nil"/>
              <w:left w:val="nil"/>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tcBorders>
              <w:top w:val="single" w:color="000000" w:sz="4" w:space="0"/>
              <w:left w:val="single" w:color="000000" w:sz="4" w:space="0"/>
              <w:bottom w:val="single" w:color="000000"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kern w:val="0"/>
                <w:sz w:val="18"/>
                <w:szCs w:val="18"/>
                <w:u w:val="none"/>
                <w:lang w:val="en-US" w:eastAsia="zh-CN" w:bidi="ar"/>
              </w:rPr>
              <w:t>E份额</w:t>
            </w:r>
          </w:p>
        </w:tc>
        <w:tc>
          <w:tcPr>
            <w:tcW w:w="2181" w:type="pct"/>
            <w:tcBorders>
              <w:top w:val="single" w:color="auto" w:sz="4" w:space="0"/>
              <w:left w:val="single" w:color="auto" w:sz="4" w:space="0"/>
              <w:bottom w:val="single" w:color="auto"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江苏银行股份有限公司</w:t>
            </w:r>
          </w:p>
        </w:tc>
        <w:tc>
          <w:tcPr>
            <w:tcW w:w="2239" w:type="pct"/>
            <w:tcBorders>
              <w:top w:val="single" w:color="auto" w:sz="4" w:space="0"/>
              <w:left w:val="nil"/>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苏银理财有限责任公司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restart"/>
            <w:tcBorders>
              <w:top w:val="single" w:color="000000" w:sz="4" w:space="0"/>
              <w:left w:val="single" w:color="000000"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kern w:val="0"/>
                <w:sz w:val="18"/>
                <w:szCs w:val="18"/>
                <w:u w:val="none"/>
                <w:lang w:val="en-US" w:eastAsia="zh-CN" w:bidi="ar"/>
              </w:rPr>
              <w:t>F份额</w:t>
            </w:r>
          </w:p>
        </w:tc>
        <w:tc>
          <w:tcPr>
            <w:tcW w:w="2181" w:type="pct"/>
            <w:tcBorders>
              <w:top w:val="single" w:color="auto" w:sz="4" w:space="0"/>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苏银理财有限责任公司</w:t>
            </w:r>
          </w:p>
        </w:tc>
        <w:tc>
          <w:tcPr>
            <w:tcW w:w="2239" w:type="pct"/>
            <w:tcBorders>
              <w:top w:val="single" w:color="auto" w:sz="4" w:space="0"/>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浙江桐乡农村商业银行股份有限公司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苏州银行股份有限公司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浙江上虞农村商业银行股份有限公司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兴业银行股份有限公司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浙江诸暨农村商业银行股份有限公司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78"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深圳农村商业银行股份有限公司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浙江舟山定海海洋农村商业银行股份有限公司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杭州联合农村商业银行股份有限公司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华侨银行有限公司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浙江永嘉农村商业银行股份有限公司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北京农村商业银行股份有限公司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浙江安吉农村商业银行股份有限公司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广州农村商业银行股份有限公司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宁波通商银行股份有限公司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浙江乐清农村商业银行股份有限公司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交通银行股份有限公司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浙江青田农村商业银行股份有限公司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徽商银行股份有限公司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浙江台州路桥农村商业银行股份有限公司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广州银行股份有限公司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潍坊银行股份有限公司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浙江龙湾农村商业银行股份有限公司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浙江新昌农村商业银行股份有限公司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浙江义乌农村商业银行股份有限公司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浙江永康农村商业银行股份有限公司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浙江德清农村商业银行股份有限公司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浙江余杭农村商业银行股份有限公司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宁波慈溪农村商业银行股份有限公司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浙江绍兴瑞丰农村商业银行股份有限公司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浙江富阳农村商业银行股份有限公司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浙江瑞安农村商业银行股份有限公司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莱商银行股份有限公司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中邮邮惠万家银行有限责任公司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浙江武义农村商业银行股份有限公司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浙江嘉善农村商业银行股份有限公司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浙江衢州衢江农村商业银行股份有限公司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浙江萧山农村商业银行股份有限公司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浙江江山农村商业银行股份有限公司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浙江温州鹿城农村商业银行股份有限公司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浙江岱山农村商业银行股份有限公司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山西银行股份有限公司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浙江湖州吴兴农村商业银行股份有限公司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浙商银行股份有限公司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浙江建德农村商业银行股份有限公司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浙江文成农村商业银行股份有限公司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浙江淳安农村商业银行股份有限公司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浙江长兴农村商业银行股份有限公司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宁波余姚农村商业银行股份有限公司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台州银行股份有限公司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浙江平湖农村商业银行股份有限公司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九江银行股份有限公司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浙江海宁农村商业银行股份有限公司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东营银行股份有限公司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福建海峡银行股份有限公司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浙江温岭农村商业银行股份有限公司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181"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浙江海盐农村商业银行股份有限公司</w:t>
            </w:r>
          </w:p>
        </w:tc>
        <w:tc>
          <w:tcPr>
            <w:tcW w:w="223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浙江宁海农村商业银行股份有限公司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tcBorders>
              <w:top w:val="single" w:color="auto" w:sz="4" w:space="0"/>
              <w:left w:val="single" w:color="auto" w:sz="4" w:space="0"/>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kern w:val="0"/>
                <w:sz w:val="18"/>
                <w:szCs w:val="18"/>
                <w:u w:val="none"/>
                <w:lang w:val="en-US" w:eastAsia="zh-CN" w:bidi="ar"/>
              </w:rPr>
              <w:t>W份额</w:t>
            </w:r>
          </w:p>
        </w:tc>
        <w:tc>
          <w:tcPr>
            <w:tcW w:w="2181" w:type="pct"/>
            <w:tcBorders>
              <w:top w:val="single" w:color="auto" w:sz="4" w:space="0"/>
              <w:left w:val="single" w:color="000000" w:sz="4" w:space="0"/>
              <w:bottom w:val="single" w:color="auto"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浙江网商银行股份有限公司</w:t>
            </w:r>
          </w:p>
        </w:tc>
        <w:tc>
          <w:tcPr>
            <w:tcW w:w="2239" w:type="pct"/>
            <w:tcBorders>
              <w:top w:val="single" w:color="auto" w:sz="4" w:space="0"/>
              <w:left w:val="nil"/>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78" w:type="pct"/>
            <w:tcBorders>
              <w:top w:val="single" w:color="auto" w:sz="4" w:space="0"/>
              <w:left w:val="single" w:color="auto" w:sz="4" w:space="0"/>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kern w:val="2"/>
                <w:sz w:val="18"/>
                <w:szCs w:val="18"/>
                <w:u w:val="none"/>
                <w:lang w:val="en-US" w:eastAsia="zh-CN" w:bidi="ar-SA"/>
              </w:rPr>
            </w:pPr>
            <w:r>
              <w:rPr>
                <w:rFonts w:hint="eastAsia" w:ascii="楷体" w:hAnsi="楷体" w:eastAsia="楷体" w:cs="楷体"/>
                <w:i w:val="0"/>
                <w:iCs w:val="0"/>
                <w:color w:val="000000"/>
                <w:sz w:val="18"/>
                <w:szCs w:val="18"/>
                <w:u w:val="none"/>
                <w:lang w:val="en-US" w:eastAsia="zh-CN"/>
              </w:rPr>
              <w:t>S份额</w:t>
            </w:r>
          </w:p>
        </w:tc>
        <w:tc>
          <w:tcPr>
            <w:tcW w:w="2181" w:type="pct"/>
            <w:tcBorders>
              <w:top w:val="single" w:color="auto" w:sz="4" w:space="0"/>
              <w:left w:val="single" w:color="000000" w:sz="4" w:space="0"/>
              <w:bottom w:val="single" w:color="auto" w:sz="4" w:space="0"/>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2"/>
                <w:sz w:val="18"/>
                <w:szCs w:val="18"/>
                <w:u w:val="none"/>
                <w:lang w:val="en-US" w:eastAsia="zh-CN" w:bidi="ar-SA"/>
              </w:rPr>
            </w:pPr>
            <w:r>
              <w:rPr>
                <w:rFonts w:hint="eastAsia" w:ascii="楷体" w:hAnsi="楷体" w:eastAsia="楷体" w:cs="楷体"/>
                <w:i w:val="0"/>
                <w:iCs w:val="0"/>
                <w:color w:val="000000"/>
                <w:sz w:val="18"/>
                <w:szCs w:val="18"/>
                <w:u w:val="none"/>
                <w:lang w:val="en-US" w:eastAsia="zh-CN"/>
              </w:rPr>
              <w:t>深圳农村商业银行股份有限公司</w:t>
            </w:r>
          </w:p>
        </w:tc>
        <w:tc>
          <w:tcPr>
            <w:tcW w:w="2239" w:type="pct"/>
            <w:tcBorders>
              <w:top w:val="single" w:color="auto" w:sz="4" w:space="0"/>
              <w:left w:val="nil"/>
              <w:bottom w:val="single" w:color="auto" w:sz="4" w:space="0"/>
              <w:right w:val="single" w:color="auto"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2"/>
                <w:sz w:val="18"/>
                <w:szCs w:val="18"/>
                <w:u w:val="none"/>
                <w:lang w:val="en-US" w:eastAsia="zh-CN" w:bidi="ar-SA"/>
              </w:rPr>
            </w:pPr>
            <w:r>
              <w:rPr>
                <w:rFonts w:hint="default" w:ascii="楷体" w:hAnsi="楷体" w:eastAsia="楷体" w:cs="楷体"/>
                <w:i w:val="0"/>
                <w:iCs w:val="0"/>
                <w:color w:val="000000"/>
                <w:sz w:val="18"/>
                <w:szCs w:val="18"/>
                <w:u w:val="none"/>
                <w:lang w:val="en-US" w:eastAsia="zh-CN"/>
              </w:rPr>
              <w:t>苏银理财有限责任公司</w:t>
            </w:r>
          </w:p>
        </w:tc>
      </w:tr>
    </w:tbl>
    <w:p>
      <w:pPr>
        <w:numPr>
          <w:ilvl w:val="0"/>
          <w:numId w:val="3"/>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投资合作机构</w:t>
      </w:r>
    </w:p>
    <w:p>
      <w:pPr>
        <w:ind w:firstLine="480" w:firstLineChars="200"/>
        <w:rPr>
          <w:rFonts w:hint="eastAsia" w:ascii="楷体" w:hAnsi="楷体" w:eastAsia="楷体"/>
          <w:b/>
          <w:sz w:val="24"/>
          <w:szCs w:val="24"/>
        </w:rPr>
      </w:pPr>
      <w:r>
        <w:rPr>
          <w:rFonts w:hint="eastAsia" w:ascii="楷体" w:hAnsi="楷体" w:eastAsia="楷体"/>
          <w:sz w:val="24"/>
          <w:szCs w:val="24"/>
        </w:rPr>
        <w:t>投资合作机构主要职责是对理财产品受托资金进行投资管理，苏银理财已按投资决策流程对投资合作机构进行了准入，并持续开展投资合作机构的存续期管理。本产品投资合作机构</w:t>
      </w:r>
      <w:r>
        <w:rPr>
          <w:rFonts w:hint="eastAsia" w:ascii="楷体" w:hAnsi="楷体" w:eastAsia="楷体"/>
          <w:sz w:val="24"/>
          <w:szCs w:val="24"/>
          <w:lang w:val="en-US" w:eastAsia="zh-CN"/>
        </w:rPr>
        <w:t>包括</w:t>
      </w:r>
      <w:r>
        <w:rPr>
          <w:rFonts w:hint="eastAsia" w:ascii="楷体" w:hAnsi="楷体" w:eastAsia="楷体"/>
          <w:sz w:val="24"/>
          <w:szCs w:val="24"/>
        </w:rPr>
        <w:t>：</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1"/>
        <w:gridCol w:w="2883"/>
        <w:gridCol w:w="4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bCs/>
                <w:sz w:val="20"/>
                <w:szCs w:val="20"/>
                <w:vertAlign w:val="baseline"/>
                <w:lang w:val="en-US" w:eastAsia="zh-CN"/>
              </w:rPr>
            </w:pPr>
            <w:r>
              <w:rPr>
                <w:rFonts w:hint="eastAsia" w:ascii="楷体" w:hAnsi="楷体" w:eastAsia="楷体"/>
                <w:b/>
                <w:bCs/>
                <w:sz w:val="20"/>
                <w:szCs w:val="20"/>
                <w:vertAlign w:val="baseline"/>
                <w:lang w:val="en-US" w:eastAsia="zh-CN"/>
              </w:rPr>
              <w:t>序号</w:t>
            </w:r>
          </w:p>
        </w:tc>
        <w:tc>
          <w:tcPr>
            <w:tcW w:w="1691"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bCs/>
                <w:sz w:val="20"/>
                <w:szCs w:val="20"/>
                <w:vertAlign w:val="baseline"/>
                <w:lang w:val="en-US" w:eastAsia="zh-CN"/>
              </w:rPr>
            </w:pPr>
            <w:r>
              <w:rPr>
                <w:rFonts w:hint="eastAsia" w:ascii="楷体" w:hAnsi="楷体" w:eastAsia="楷体"/>
                <w:b/>
                <w:bCs/>
                <w:sz w:val="20"/>
                <w:szCs w:val="20"/>
                <w:vertAlign w:val="baseline"/>
                <w:lang w:val="en-US" w:eastAsia="zh-CN"/>
              </w:rPr>
              <w:t>投资合作机构</w:t>
            </w:r>
          </w:p>
        </w:tc>
        <w:tc>
          <w:tcPr>
            <w:tcW w:w="2920"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bCs/>
                <w:sz w:val="20"/>
                <w:szCs w:val="20"/>
                <w:vertAlign w:val="baseline"/>
                <w:lang w:val="en-US" w:eastAsia="zh-CN"/>
              </w:rPr>
            </w:pPr>
            <w:r>
              <w:rPr>
                <w:rFonts w:hint="eastAsia" w:ascii="楷体" w:hAnsi="楷体" w:eastAsia="楷体"/>
                <w:b/>
                <w:bCs/>
                <w:sz w:val="20"/>
                <w:szCs w:val="20"/>
                <w:vertAlign w:val="baseline"/>
                <w:lang w:val="en-US" w:eastAsia="zh-CN"/>
              </w:rPr>
              <w:t>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1</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20"/>
                <w:vertAlign w:val="baseline"/>
              </w:rPr>
            </w:pPr>
            <w:r>
              <w:rPr>
                <w:rFonts w:hint="eastAsia" w:ascii="楷体" w:hAnsi="楷体" w:eastAsia="楷体"/>
                <w:b w:val="0"/>
                <w:bCs w:val="0"/>
                <w:sz w:val="20"/>
                <w:szCs w:val="20"/>
              </w:rPr>
              <w:t>弘业期货股份有限公司</w:t>
            </w:r>
          </w:p>
        </w:tc>
        <w:tc>
          <w:tcPr>
            <w:tcW w:w="2920"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楷体" w:hAnsi="楷体" w:eastAsia="楷体"/>
                <w:b w:val="0"/>
                <w:bCs w:val="0"/>
                <w:sz w:val="20"/>
                <w:szCs w:val="20"/>
                <w:vertAlign w:val="baseline"/>
              </w:rPr>
            </w:pPr>
            <w:r>
              <w:rPr>
                <w:rFonts w:hint="eastAsia" w:ascii="楷体" w:hAnsi="楷体" w:eastAsia="楷体"/>
                <w:b w:val="0"/>
                <w:bCs w:val="0"/>
                <w:sz w:val="20"/>
                <w:szCs w:val="20"/>
              </w:rPr>
              <w:t>弘业期货股份有限公司是经中国证监会批准设立的大型期货公司，总部位于江苏南京，公司在北京、上海、深圳等国内主要金融中心和重点城市设立40多家营业部和分公司。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2</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20"/>
                <w:vertAlign w:val="baseline"/>
              </w:rPr>
            </w:pPr>
            <w:r>
              <w:rPr>
                <w:rFonts w:hint="eastAsia" w:ascii="楷体" w:hAnsi="楷体" w:eastAsia="楷体"/>
                <w:b w:val="0"/>
                <w:bCs w:val="0"/>
                <w:sz w:val="20"/>
                <w:szCs w:val="20"/>
              </w:rPr>
              <w:t>江苏省国际信托有限责任公司</w:t>
            </w:r>
          </w:p>
        </w:tc>
        <w:tc>
          <w:tcPr>
            <w:tcW w:w="2920"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楷体" w:hAnsi="楷体" w:eastAsia="楷体"/>
                <w:b w:val="0"/>
                <w:bCs w:val="0"/>
                <w:sz w:val="20"/>
                <w:szCs w:val="20"/>
                <w:vertAlign w:val="baseline"/>
              </w:rPr>
            </w:pPr>
            <w:r>
              <w:rPr>
                <w:rFonts w:hint="eastAsia" w:ascii="楷体" w:hAnsi="楷体" w:eastAsia="楷体"/>
                <w:b w:val="0"/>
                <w:bCs w:val="0"/>
                <w:sz w:val="20"/>
                <w:szCs w:val="20"/>
              </w:rPr>
              <w:t>江苏省国际信托有限责任公司是经江苏省人民政府和中国银行业监督管理委员会批准设立的非银行金融机构，是江苏省国信集团的主要成员企业之一，专业从事金融信托业务。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3</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20"/>
                <w:vertAlign w:val="baseline"/>
              </w:rPr>
            </w:pPr>
            <w:r>
              <w:rPr>
                <w:rFonts w:ascii="楷体" w:hAnsi="楷体" w:eastAsia="楷体"/>
                <w:b w:val="0"/>
                <w:bCs w:val="0"/>
                <w:sz w:val="20"/>
                <w:szCs w:val="18"/>
              </w:rPr>
              <w:t>创金合信基金管理有限公司</w:t>
            </w:r>
          </w:p>
        </w:tc>
        <w:tc>
          <w:tcPr>
            <w:tcW w:w="2920"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楷体" w:hAnsi="楷体" w:eastAsia="楷体"/>
                <w:b w:val="0"/>
                <w:bCs w:val="0"/>
                <w:sz w:val="20"/>
                <w:szCs w:val="20"/>
                <w:vertAlign w:val="baseline"/>
              </w:rPr>
            </w:pPr>
            <w:r>
              <w:rPr>
                <w:rFonts w:ascii="楷体" w:hAnsi="楷体" w:eastAsia="楷体"/>
                <w:b w:val="0"/>
                <w:bCs w:val="0"/>
                <w:sz w:val="20"/>
                <w:szCs w:val="18"/>
              </w:rPr>
              <w:t>创金合信基金管理有限公司成立于2014年7月9日，由第一创业证券股份有限公司、深圳市金合信投资合伙企业（有限合伙）共同发起设立，注册地为深圳。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4</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ascii="楷体" w:hAnsi="楷体" w:eastAsia="楷体" w:cs="Times New Roman"/>
                <w:b w:val="0"/>
                <w:bCs w:val="0"/>
                <w:sz w:val="20"/>
                <w:szCs w:val="18"/>
              </w:rPr>
            </w:pPr>
            <w:r>
              <w:rPr>
                <w:rFonts w:ascii="楷体" w:hAnsi="楷体" w:eastAsia="楷体" w:cs="Times New Roman"/>
                <w:b w:val="0"/>
                <w:bCs w:val="0"/>
                <w:sz w:val="20"/>
                <w:szCs w:val="18"/>
              </w:rPr>
              <w:t>太平洋资产管理有限责任公司</w:t>
            </w:r>
          </w:p>
        </w:tc>
        <w:tc>
          <w:tcPr>
            <w:tcW w:w="2920"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楷体" w:hAnsi="楷体" w:eastAsia="楷体" w:cs="Times New Roman"/>
                <w:b w:val="0"/>
                <w:bCs w:val="0"/>
                <w:sz w:val="20"/>
                <w:szCs w:val="18"/>
                <w:lang w:val="en-US" w:eastAsia="zh-CN"/>
              </w:rPr>
            </w:pPr>
            <w:r>
              <w:rPr>
                <w:rFonts w:ascii="楷体" w:hAnsi="楷体" w:eastAsia="楷体" w:cs="Times New Roman"/>
                <w:b w:val="0"/>
                <w:bCs w:val="0"/>
                <w:sz w:val="20"/>
                <w:szCs w:val="18"/>
              </w:rPr>
              <w:t>太平洋资产管理有限责任公司（以下简称“太保资产”或“公司”）于2006年6月经中国保险监督管理委员会（现已与中国银行业监督管理委员会合并为中国银行保险监督管理委员会）批准成立，是中国太平洋保险（集团）股份有限公司控股下的资产管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5</w:t>
            </w:r>
          </w:p>
        </w:tc>
        <w:tc>
          <w:tcPr>
            <w:tcW w:w="1691" w:type="pct"/>
            <w:noWrap w:val="0"/>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安联保险资产管理有限公司</w:t>
            </w:r>
          </w:p>
        </w:tc>
        <w:tc>
          <w:tcPr>
            <w:tcW w:w="2920" w:type="pct"/>
            <w:noWrap w:val="0"/>
            <w:vAlign w:val="center"/>
          </w:tcPr>
          <w:p>
            <w:pPr>
              <w:keepNext w:val="0"/>
              <w:keepLines w:val="0"/>
              <w:widowControl/>
              <w:suppressLineNumbers w:val="0"/>
              <w:jc w:val="left"/>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安联保险资产管理有限公司（简称安联资管或公司）于2021年7月27日获得中国银行保险监督管理委员会的开业批复，成为中国获批开业的外资独资保险资产管理公司，注册资本为五亿元人民币，注册地北京。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6</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kern w:val="2"/>
                <w:sz w:val="20"/>
                <w:szCs w:val="18"/>
                <w:lang w:val="en-US" w:eastAsia="zh-CN" w:bidi="ar-SA"/>
              </w:rPr>
            </w:pPr>
            <w:r>
              <w:rPr>
                <w:rFonts w:hint="eastAsia" w:ascii="楷体" w:hAnsi="楷体" w:eastAsia="楷体"/>
                <w:b w:val="0"/>
                <w:bCs w:val="0"/>
                <w:sz w:val="20"/>
                <w:szCs w:val="18"/>
              </w:rPr>
              <w:t>中粮信托有限责任公司</w:t>
            </w:r>
          </w:p>
        </w:tc>
        <w:tc>
          <w:tcPr>
            <w:tcW w:w="2920"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楷体" w:hAnsi="楷体" w:eastAsia="楷体"/>
                <w:b w:val="0"/>
                <w:bCs w:val="0"/>
                <w:kern w:val="2"/>
                <w:sz w:val="20"/>
                <w:szCs w:val="18"/>
                <w:lang w:val="en-US" w:eastAsia="zh-CN" w:bidi="ar-SA"/>
              </w:rPr>
            </w:pPr>
            <w:r>
              <w:rPr>
                <w:rFonts w:hint="eastAsia" w:ascii="楷体" w:hAnsi="楷体" w:eastAsia="楷体"/>
                <w:b w:val="0"/>
                <w:bCs w:val="0"/>
                <w:sz w:val="20"/>
                <w:szCs w:val="18"/>
              </w:rPr>
              <w:t>中粮信托有限责任公司成立于2009年7月27日，是中国银行保险监督管理委员会核准的国有控股金融机构，注册资本28.3095亿元，前三大股东分别为中粮资本投资有限公司、蒙特利尔银行、中粮财务有限责任公司。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7</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kern w:val="2"/>
                <w:sz w:val="20"/>
                <w:szCs w:val="18"/>
                <w:lang w:val="en-US" w:eastAsia="zh-CN" w:bidi="ar-SA"/>
              </w:rPr>
            </w:pPr>
            <w:r>
              <w:rPr>
                <w:rFonts w:hint="eastAsia" w:ascii="楷体" w:hAnsi="楷体" w:eastAsia="楷体"/>
                <w:b w:val="0"/>
                <w:bCs w:val="0"/>
                <w:sz w:val="20"/>
                <w:szCs w:val="18"/>
              </w:rPr>
              <w:t>华润深国投信托有限公司</w:t>
            </w:r>
          </w:p>
        </w:tc>
        <w:tc>
          <w:tcPr>
            <w:tcW w:w="2920"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楷体" w:hAnsi="楷体" w:eastAsia="楷体"/>
                <w:b w:val="0"/>
                <w:bCs w:val="0"/>
                <w:kern w:val="2"/>
                <w:sz w:val="20"/>
                <w:szCs w:val="18"/>
                <w:lang w:val="en-US" w:eastAsia="zh-CN" w:bidi="ar-SA"/>
              </w:rPr>
            </w:pPr>
            <w:r>
              <w:rPr>
                <w:rFonts w:hint="eastAsia" w:ascii="楷体" w:hAnsi="楷体" w:eastAsia="楷体"/>
                <w:b w:val="0"/>
                <w:bCs w:val="0"/>
                <w:sz w:val="20"/>
                <w:szCs w:val="18"/>
              </w:rPr>
              <w:t>华润信托于1982年8月24日成立，原名为深圳市信托投资公司，注册资本人民币 5,813万元。目前，公司注册资本人民币110亿元，华润金控投资有限公司持有公司51%股权，深圳市投资控股有限公司持有公司49%股权。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8"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8</w:t>
            </w:r>
          </w:p>
        </w:tc>
        <w:tc>
          <w:tcPr>
            <w:tcW w:w="1691" w:type="pct"/>
            <w:noWrap w:val="0"/>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华鑫证券有限责任公司</w:t>
            </w:r>
          </w:p>
        </w:tc>
        <w:tc>
          <w:tcPr>
            <w:tcW w:w="2920" w:type="pct"/>
            <w:noWrap w:val="0"/>
            <w:vAlign w:val="center"/>
          </w:tcPr>
          <w:p>
            <w:pPr>
              <w:keepNext w:val="0"/>
              <w:keepLines w:val="0"/>
              <w:widowControl/>
              <w:suppressLineNumbers w:val="0"/>
              <w:tabs>
                <w:tab w:val="left" w:pos="1497"/>
              </w:tabs>
              <w:jc w:val="left"/>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华鑫证券有限责任公司是经中国证券监督管理委员会批准于2001年3月在深圳注册成立的全国性综合类证券经营机构，注册资本为36亿人民币，控股股东为上海华鑫股份有限公司，业务涵盖证券经纪、证券投资咨询、证券自营、证券资产管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9</w:t>
            </w:r>
          </w:p>
        </w:tc>
        <w:tc>
          <w:tcPr>
            <w:tcW w:w="1691" w:type="pct"/>
            <w:noWrap w:val="0"/>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国联证券资产管理有限公司</w:t>
            </w:r>
          </w:p>
        </w:tc>
        <w:tc>
          <w:tcPr>
            <w:tcW w:w="2920" w:type="pct"/>
            <w:noWrap w:val="0"/>
            <w:vAlign w:val="center"/>
          </w:tcPr>
          <w:p>
            <w:pPr>
              <w:keepNext w:val="0"/>
              <w:keepLines w:val="0"/>
              <w:widowControl/>
              <w:suppressLineNumbers w:val="0"/>
              <w:tabs>
                <w:tab w:val="left" w:pos="1497"/>
              </w:tabs>
              <w:jc w:val="left"/>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国联证券资产管理有限公司成立于2023年9月20日，注册资本为10亿元人民币，控股股东为国联证券股份有限公司。业务涵盖证券业务、证券财务顾问服务。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10</w:t>
            </w:r>
          </w:p>
        </w:tc>
        <w:tc>
          <w:tcPr>
            <w:tcW w:w="1691" w:type="pct"/>
            <w:noWrap w:val="0"/>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国投泰康信托有限公司</w:t>
            </w:r>
          </w:p>
        </w:tc>
        <w:tc>
          <w:tcPr>
            <w:tcW w:w="2920" w:type="pct"/>
            <w:noWrap w:val="0"/>
            <w:vAlign w:val="center"/>
          </w:tcPr>
          <w:p>
            <w:pPr>
              <w:keepNext w:val="0"/>
              <w:keepLines w:val="0"/>
              <w:widowControl/>
              <w:suppressLineNumbers w:val="0"/>
              <w:tabs>
                <w:tab w:val="left" w:pos="1497"/>
              </w:tabs>
              <w:jc w:val="left"/>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国投泰康信托有限公司是经中国人民银行批准设立、国家金融监督管理总局监管的非银行金融机构，注册资本金26.705亿元人民币。公司主要股东为:国投资本控股有限公司，出资比例61.29%；泰康保险集团股份有限公司，出资比例27.06%；悦达资本股份有限公司，出资比例8.20%；泰康资产管理有限责任公司，出资比例3.45%。</w:t>
            </w:r>
          </w:p>
        </w:tc>
      </w:tr>
    </w:tbl>
    <w:p>
      <w:pPr>
        <w:ind w:firstLine="480" w:firstLineChars="200"/>
        <w:rPr>
          <w:rFonts w:hint="eastAsia" w:ascii="楷体" w:hAnsi="楷体" w:eastAsia="楷体"/>
          <w:sz w:val="24"/>
          <w:szCs w:val="24"/>
        </w:rPr>
      </w:pPr>
      <w:r>
        <w:rPr>
          <w:rFonts w:hint="eastAsia" w:ascii="楷体" w:hAnsi="楷体" w:eastAsia="楷体"/>
          <w:sz w:val="24"/>
          <w:szCs w:val="24"/>
        </w:rPr>
        <w:t>产品存续期内合作机构如有变化，管理人将按照监管规定和内部管理制度要求对合作机构进行准入，签署相关协议后，披露新增的投资合作机构。</w:t>
      </w:r>
    </w:p>
    <w:p>
      <w:pPr>
        <w:numPr>
          <w:ilvl w:val="0"/>
          <w:numId w:val="3"/>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名词释义</w:t>
      </w:r>
    </w:p>
    <w:p>
      <w:pPr>
        <w:ind w:firstLine="480" w:firstLineChars="200"/>
        <w:rPr>
          <w:rFonts w:hint="eastAsia" w:ascii="楷体" w:hAnsi="楷体" w:eastAsia="楷体"/>
          <w:sz w:val="24"/>
          <w:szCs w:val="24"/>
        </w:rPr>
      </w:pPr>
      <w:r>
        <w:rPr>
          <w:rFonts w:hint="eastAsia" w:ascii="楷体" w:hAnsi="楷体" w:eastAsia="楷体"/>
          <w:sz w:val="24"/>
          <w:szCs w:val="24"/>
        </w:rPr>
        <w:t>在本理财产品说明书中，除非上下文另有明确约定，下列用词将具有如下含义：</w:t>
      </w:r>
    </w:p>
    <w:p>
      <w:pPr>
        <w:numPr>
          <w:ilvl w:val="0"/>
          <w:numId w:val="5"/>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参与主体用语</w:t>
      </w:r>
    </w:p>
    <w:p>
      <w:pPr>
        <w:numPr>
          <w:ilvl w:val="0"/>
          <w:numId w:val="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★管理人/产品管理人/理财产品管理人：指苏银理财有限责任公司（本文简称“苏银理财”）。</w:t>
      </w:r>
    </w:p>
    <w:p>
      <w:pPr>
        <w:numPr>
          <w:ilvl w:val="0"/>
          <w:numId w:val="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托管人/产品托管人：指江苏银行股份有限公司（本文简称“江苏银行”）。江苏银行具备理财产品托管资格。托管人负责履行安全保管理财产品资金及其所投资的资产，办理清算、交割事宜，与管理人对账，监督理财产品投资运作等职责。</w:t>
      </w:r>
    </w:p>
    <w:p>
      <w:pPr>
        <w:numPr>
          <w:ilvl w:val="0"/>
          <w:numId w:val="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★代销机构/销售机构：指符合《关于规范金融机构资产管理业务的指导意见》、《商业银行理财业务监督管理办法》、《商业银行理财子公司管理办法》、《理财公司理财产品销售管理暂行办法》和</w:t>
      </w:r>
      <w:r>
        <w:rPr>
          <w:rFonts w:hint="eastAsia" w:ascii="楷体" w:hAnsi="楷体" w:eastAsia="楷体" w:cs="Calibri"/>
          <w:sz w:val="24"/>
          <w:szCs w:val="24"/>
          <w:lang w:val="en-US" w:eastAsia="zh-CN"/>
        </w:rPr>
        <w:t>金融监管总局</w:t>
      </w:r>
      <w:r>
        <w:rPr>
          <w:rFonts w:hint="eastAsia" w:ascii="楷体" w:hAnsi="楷体" w:eastAsia="楷体" w:cs="Calibri"/>
          <w:sz w:val="24"/>
          <w:szCs w:val="24"/>
        </w:rPr>
        <w:t>规定的其他条件，取得理财产品销售资格并与管理人签订了销售服务代理协议，代为办理销售业务的机构。代销机构接受产品管理人的委托，在该机构渠道向投资者宣传推介、销售产品管理人依法发行的资产管理产品的活动。其中，“销售”是指向投资者宣传推介资产管理产品，办理产品申购、赎回的活动。</w:t>
      </w:r>
    </w:p>
    <w:p>
      <w:pPr>
        <w:numPr>
          <w:ilvl w:val="0"/>
          <w:numId w:val="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lang w:val="en-US" w:eastAsia="zh-CN"/>
        </w:rPr>
        <w:t>监管机构：指有权对本理财产品管理人及相关合作机构实施监督管理的机构，包括但不限于中国人民银行、金融监管总局、中国证券监督管理委员会、外汇管理局、银行业理财登记托管中心等。</w:t>
      </w:r>
    </w:p>
    <w:p>
      <w:pPr>
        <w:numPr>
          <w:ilvl w:val="0"/>
          <w:numId w:val="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投资合作机构：包括但不限于理财产品所投资资产管理产品的发行机构、根据合同约定从事理财产品受托投资的机构以及与理财产品投资管理相关的投资顾问等；主要职责为进行受托资金的投资管理，根据合同约定从事受托投资或提供投资顾问等服务，具体职责以管理人与投资合作机构签署的合同为准。</w:t>
      </w:r>
    </w:p>
    <w:p>
      <w:pPr>
        <w:numPr>
          <w:ilvl w:val="0"/>
          <w:numId w:val="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投资者：指符合相关法律法规、监管规定要求的，可以购买理财产品份额的自然人和法人。</w:t>
      </w:r>
    </w:p>
    <w:p>
      <w:pPr>
        <w:numPr>
          <w:ilvl w:val="0"/>
          <w:numId w:val="5"/>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理财产品用语</w:t>
      </w:r>
    </w:p>
    <w:p>
      <w:pPr>
        <w:numPr>
          <w:ilvl w:val="0"/>
          <w:numId w:val="7"/>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理财产品</w:t>
      </w:r>
      <w:r>
        <w:rPr>
          <w:rFonts w:ascii="楷体" w:hAnsi="楷体" w:eastAsia="楷体" w:cs="Calibri"/>
          <w:sz w:val="24"/>
          <w:szCs w:val="24"/>
        </w:rPr>
        <w:t>/</w:t>
      </w:r>
      <w:r>
        <w:rPr>
          <w:rFonts w:hint="eastAsia" w:ascii="楷体" w:hAnsi="楷体" w:eastAsia="楷体" w:cs="Calibri"/>
          <w:sz w:val="24"/>
          <w:szCs w:val="24"/>
        </w:rPr>
        <w:t>产品：指苏银理财按照约定条件和实际投资收益情况向投资者支付收益、不保证本金支付和收益水平的非保本理财产品。</w:t>
      </w:r>
    </w:p>
    <w:p>
      <w:pPr>
        <w:numPr>
          <w:ilvl w:val="0"/>
          <w:numId w:val="7"/>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本理财产品</w:t>
      </w:r>
      <w:r>
        <w:rPr>
          <w:rFonts w:ascii="楷体" w:hAnsi="楷体" w:eastAsia="楷体" w:cs="Calibri"/>
          <w:sz w:val="24"/>
          <w:szCs w:val="24"/>
        </w:rPr>
        <w:t>/</w:t>
      </w:r>
      <w:r>
        <w:rPr>
          <w:rFonts w:hint="eastAsia" w:ascii="楷体" w:hAnsi="楷体" w:eastAsia="楷体" w:cs="Calibri"/>
          <w:sz w:val="24"/>
          <w:szCs w:val="24"/>
        </w:rPr>
        <w:t>本产品：指“苏银理财</w:t>
      </w:r>
      <w:r>
        <w:rPr>
          <w:rFonts w:hint="eastAsia" w:ascii="楷体" w:hAnsi="楷体" w:eastAsia="楷体" w:cs="Calibri"/>
          <w:sz w:val="24"/>
          <w:szCs w:val="24"/>
          <w:lang w:eastAsia="zh-CN"/>
        </w:rPr>
        <w:t>恒源季开放7号</w:t>
      </w:r>
      <w:r>
        <w:rPr>
          <w:rFonts w:hint="eastAsia" w:ascii="楷体" w:hAnsi="楷体" w:eastAsia="楷体" w:cs="Calibri"/>
          <w:sz w:val="24"/>
          <w:szCs w:val="24"/>
        </w:rPr>
        <w:t>”理财产品。</w:t>
      </w:r>
    </w:p>
    <w:p>
      <w:pPr>
        <w:numPr>
          <w:ilvl w:val="0"/>
          <w:numId w:val="7"/>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理财产品登记编码：指本款理财产品在全国银行业理财信息登记系统中的编码，投资者可在中国理财网进行查询该编码。</w:t>
      </w:r>
    </w:p>
    <w:p>
      <w:pPr>
        <w:numPr>
          <w:ilvl w:val="0"/>
          <w:numId w:val="7"/>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理财产品代码/产品代码：指本款理财产品在全国银行业理财信息登记系统中登记的内部识别码。</w:t>
      </w:r>
    </w:p>
    <w:p>
      <w:pPr>
        <w:numPr>
          <w:ilvl w:val="0"/>
          <w:numId w:val="7"/>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理财产品销售代码/销售代码：指本款理财产品可能存在不同产品份额类别，管理人在理财产品销售管理过程中为区分不同产品份额类别，在同一理财产品代码项下设置的内部识别码。</w:t>
      </w:r>
    </w:p>
    <w:p>
      <w:pPr>
        <w:numPr>
          <w:ilvl w:val="0"/>
          <w:numId w:val="7"/>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理财产品份额：指投资者持有本理财产品的单位数额。投资者基于其所持有的理财产品单位数额享有理财产品利益、承担理财产品风险。</w:t>
      </w:r>
    </w:p>
    <w:p>
      <w:pPr>
        <w:numPr>
          <w:ilvl w:val="0"/>
          <w:numId w:val="7"/>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理财产品资产净值/理财资产净值/产品资产净值：产品资产净值=产品资产总值-产品负债总值。</w:t>
      </w:r>
    </w:p>
    <w:p>
      <w:pPr>
        <w:numPr>
          <w:ilvl w:val="0"/>
          <w:numId w:val="7"/>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产品资产总值</w:t>
      </w:r>
      <w:r>
        <w:rPr>
          <w:rFonts w:hint="eastAsia" w:ascii="楷体" w:hAnsi="楷体" w:eastAsia="楷体" w:cs="Calibri"/>
          <w:sz w:val="24"/>
          <w:szCs w:val="24"/>
          <w:lang w:eastAsia="zh-CN"/>
        </w:rPr>
        <w:t>：</w:t>
      </w:r>
      <w:r>
        <w:rPr>
          <w:rFonts w:hint="eastAsia" w:ascii="楷体" w:hAnsi="楷体" w:eastAsia="楷体" w:cs="Calibri"/>
          <w:sz w:val="24"/>
          <w:szCs w:val="24"/>
        </w:rPr>
        <w:t>指产品拥有的各类有价证券、银行存款、应收款项及其他资产的价值总和。</w:t>
      </w:r>
    </w:p>
    <w:p>
      <w:pPr>
        <w:numPr>
          <w:ilvl w:val="0"/>
          <w:numId w:val="7"/>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产品负债总值</w:t>
      </w:r>
      <w:r>
        <w:rPr>
          <w:rFonts w:hint="eastAsia" w:ascii="楷体" w:hAnsi="楷体" w:eastAsia="楷体" w:cs="Calibri"/>
          <w:sz w:val="24"/>
          <w:szCs w:val="24"/>
          <w:lang w:eastAsia="zh-CN"/>
        </w:rPr>
        <w:t>：</w:t>
      </w:r>
      <w:r>
        <w:rPr>
          <w:rFonts w:hint="eastAsia" w:ascii="楷体" w:hAnsi="楷体" w:eastAsia="楷体" w:cs="Calibri"/>
          <w:sz w:val="24"/>
          <w:szCs w:val="24"/>
        </w:rPr>
        <w:t>指产品运作及融资时形成的负债价值总和，包括融资资金本息、应付各项费用（包括托管费、销售服务费、投资管理费、超额业绩报酬、其他费用等）、应付税金及其他应付款项等。</w:t>
      </w:r>
    </w:p>
    <w:p>
      <w:pPr>
        <w:numPr>
          <w:ilvl w:val="0"/>
          <w:numId w:val="7"/>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理财产品份额单位净值/理财产品单位净值/单位净值：指理财产品份额的单位净值，即每1份理财产品份额以人民币计价的价格。理财产品单位净值=理财资产净值/产品总份额。投资者按该</w:t>
      </w:r>
      <w:r>
        <w:rPr>
          <w:rFonts w:hint="eastAsia" w:ascii="楷体" w:hAnsi="楷体" w:eastAsia="楷体" w:cs="Calibri"/>
          <w:sz w:val="24"/>
          <w:szCs w:val="24"/>
          <w:lang w:val="en-US" w:eastAsia="zh-CN"/>
        </w:rPr>
        <w:t>份额</w:t>
      </w:r>
      <w:r>
        <w:rPr>
          <w:rFonts w:hint="eastAsia" w:ascii="楷体" w:hAnsi="楷体" w:eastAsia="楷体" w:cs="Calibri"/>
          <w:sz w:val="24"/>
          <w:szCs w:val="24"/>
        </w:rPr>
        <w:t>单位净值进行理财产品申购、赎回和终止时分配。</w:t>
      </w:r>
    </w:p>
    <w:p>
      <w:pPr>
        <w:numPr>
          <w:ilvl w:val="0"/>
          <w:numId w:val="7"/>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理财产品估值：指计算评估理财产品资产和负债以确定理财产品单位净值的过程。</w:t>
      </w:r>
    </w:p>
    <w:p>
      <w:pPr>
        <w:numPr>
          <w:ilvl w:val="0"/>
          <w:numId w:val="7"/>
        </w:numPr>
        <w:tabs>
          <w:tab w:val="left" w:pos="851"/>
        </w:tabs>
        <w:ind w:left="0" w:firstLine="482" w:firstLineChars="200"/>
        <w:rPr>
          <w:rFonts w:hint="eastAsia" w:ascii="楷体" w:hAnsi="楷体" w:eastAsia="楷体" w:cs="Calibri"/>
          <w:b/>
          <w:sz w:val="24"/>
          <w:szCs w:val="24"/>
        </w:rPr>
      </w:pPr>
      <w:r>
        <w:rPr>
          <w:rFonts w:hint="eastAsia" w:ascii="楷体" w:hAnsi="楷体" w:eastAsia="楷体" w:cs="Calibri"/>
          <w:b/>
          <w:sz w:val="24"/>
          <w:szCs w:val="24"/>
        </w:rPr>
        <w:t>★业绩比较基准：指管理人基于过往投资经验及对产品存续期投资市场波动的预判而对本产品所设定的投资目标。业绩比较基准不代表理财产品未来表现，不等于理财产品实际收益，不作为产品收益的业绩保证，投资须谨慎。</w:t>
      </w:r>
    </w:p>
    <w:p>
      <w:pPr>
        <w:numPr>
          <w:ilvl w:val="0"/>
          <w:numId w:val="7"/>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利益/理财利益：指投资者因持有理财产品份额，按照销售文件约定取得或有权取得的理财产品管理人分配的理财产品资产。在理财产品对外投资资产正常回收的情况下，理财产品利益包括理财产品本金及理财产品收益。</w:t>
      </w:r>
    </w:p>
    <w:p>
      <w:pPr>
        <w:numPr>
          <w:ilvl w:val="0"/>
          <w:numId w:val="7"/>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本金/理财本金：指就每一投资者而言，指投资者为认购/申购理财产品份额而向理财产品管理人交付的货币资金，即投资者的初始投资本金。就每一理财产品份额而言，在本理财产品成立时每一理财产品份额的初始投资本金为1元。为避免疑义，理财产品本金的称谓仅为方便计算理财产品利益而创设的，并非对投资者理财产品本金不受损失的承诺。</w:t>
      </w:r>
    </w:p>
    <w:p>
      <w:pPr>
        <w:numPr>
          <w:ilvl w:val="0"/>
          <w:numId w:val="7"/>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★理财产品收益/理财收益：指投资者投资理财产品获得的投资收益，该收益为其获得分配的全部理财产品利益中扣除理财产品本金的部分。</w:t>
      </w:r>
    </w:p>
    <w:p>
      <w:pPr>
        <w:numPr>
          <w:ilvl w:val="0"/>
          <w:numId w:val="7"/>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认购：指投资者根据理财产品说明书约定在募集期内申请购买本产品理财产品份额的行为。</w:t>
      </w:r>
    </w:p>
    <w:p>
      <w:pPr>
        <w:numPr>
          <w:ilvl w:val="0"/>
          <w:numId w:val="7"/>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投资者资金账户：指投资者开立的银行账户，理财产品投资交易的资金遵循同卡进出原则，通过银行卡A认购/申购理财产品的资金，赎回或到期资金只能划转至银行卡A。</w:t>
      </w:r>
    </w:p>
    <w:p>
      <w:pPr>
        <w:numPr>
          <w:ilvl w:val="0"/>
          <w:numId w:val="7"/>
        </w:numPr>
        <w:tabs>
          <w:tab w:val="left" w:pos="851"/>
        </w:tabs>
        <w:ind w:left="0" w:firstLine="480" w:firstLineChars="200"/>
        <w:rPr>
          <w:rFonts w:hint="eastAsia" w:ascii="楷体" w:hAnsi="楷体" w:eastAsia="楷体" w:cs="Calibri"/>
          <w:sz w:val="24"/>
          <w:szCs w:val="24"/>
        </w:rPr>
      </w:pPr>
      <w:r>
        <w:rPr>
          <w:rFonts w:ascii="楷体" w:hAnsi="楷体" w:eastAsia="楷体" w:cs="Calibri"/>
          <w:sz w:val="24"/>
          <w:szCs w:val="24"/>
        </w:rPr>
        <w:t>申购、赎回申请</w:t>
      </w:r>
      <w:r>
        <w:rPr>
          <w:rFonts w:hint="eastAsia" w:ascii="楷体" w:hAnsi="楷体" w:eastAsia="楷体" w:cs="Calibri"/>
          <w:sz w:val="24"/>
          <w:szCs w:val="24"/>
        </w:rPr>
        <w:t>：</w:t>
      </w:r>
      <w:r>
        <w:rPr>
          <w:rFonts w:ascii="楷体" w:hAnsi="楷体" w:eastAsia="楷体" w:cs="Calibri"/>
          <w:sz w:val="24"/>
          <w:szCs w:val="24"/>
        </w:rPr>
        <w:t>指在</w:t>
      </w:r>
      <w:r>
        <w:rPr>
          <w:rFonts w:hint="eastAsia" w:ascii="楷体" w:hAnsi="楷体" w:eastAsia="楷体" w:cs="Calibri"/>
          <w:sz w:val="24"/>
          <w:szCs w:val="24"/>
        </w:rPr>
        <w:t>理财产品开放日</w:t>
      </w:r>
      <w:r>
        <w:rPr>
          <w:rFonts w:ascii="楷体" w:hAnsi="楷体" w:eastAsia="楷体" w:cs="Calibri"/>
          <w:sz w:val="24"/>
          <w:szCs w:val="24"/>
        </w:rPr>
        <w:t>投资者向</w:t>
      </w:r>
      <w:r>
        <w:rPr>
          <w:rFonts w:hint="eastAsia" w:ascii="楷体" w:hAnsi="楷体" w:eastAsia="楷体" w:cs="Calibri"/>
          <w:sz w:val="24"/>
          <w:szCs w:val="24"/>
        </w:rPr>
        <w:t>理财产品管理人</w:t>
      </w:r>
      <w:r>
        <w:rPr>
          <w:rFonts w:ascii="楷体" w:hAnsi="楷体" w:eastAsia="楷体" w:cs="Calibri"/>
          <w:sz w:val="24"/>
          <w:szCs w:val="24"/>
        </w:rPr>
        <w:t>提出申请对理财</w:t>
      </w:r>
      <w:r>
        <w:rPr>
          <w:rFonts w:hint="eastAsia" w:ascii="楷体" w:hAnsi="楷体" w:eastAsia="楷体" w:cs="Calibri"/>
          <w:sz w:val="24"/>
          <w:szCs w:val="24"/>
        </w:rPr>
        <w:t>产品</w:t>
      </w:r>
      <w:r>
        <w:rPr>
          <w:rFonts w:ascii="楷体" w:hAnsi="楷体" w:eastAsia="楷体" w:cs="Calibri"/>
          <w:sz w:val="24"/>
          <w:szCs w:val="24"/>
        </w:rPr>
        <w:t>份额进行购买或卖出的行为。</w:t>
      </w:r>
    </w:p>
    <w:p>
      <w:pPr>
        <w:numPr>
          <w:ilvl w:val="0"/>
          <w:numId w:val="7"/>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巨额赎回：理财产品每个开放日投资者净赎回额（赎回申请份额总数扣除申购申请份额总数）超过本理财产品上一工作日日终份额10%时，即为发生巨额赎回。</w:t>
      </w:r>
    </w:p>
    <w:p>
      <w:pPr>
        <w:numPr>
          <w:ilvl w:val="0"/>
          <w:numId w:val="7"/>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lang w:val="en-US" w:eastAsia="zh-CN"/>
        </w:rPr>
        <w:t>流动性受限资产：</w:t>
      </w:r>
      <w:r>
        <w:rPr>
          <w:rFonts w:hint="eastAsia" w:ascii="楷体" w:hAnsi="楷体" w:eastAsia="楷体" w:cs="Calibri"/>
          <w:kern w:val="2"/>
          <w:sz w:val="24"/>
          <w:szCs w:val="24"/>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r>
        <w:rPr>
          <w:rFonts w:hint="eastAsia" w:ascii="楷体" w:hAnsi="楷体" w:eastAsia="楷体" w:cs="Calibri"/>
          <w:kern w:val="2"/>
          <w:sz w:val="24"/>
          <w:szCs w:val="24"/>
          <w:lang w:val="en-US" w:eastAsia="zh-CN"/>
        </w:rPr>
        <w:t>法律法规或监管机构另有规定的，从其规定。</w:t>
      </w:r>
    </w:p>
    <w:p>
      <w:pPr>
        <w:numPr>
          <w:ilvl w:val="0"/>
          <w:numId w:val="7"/>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kern w:val="2"/>
          <w:sz w:val="24"/>
          <w:szCs w:val="24"/>
        </w:rPr>
        <w:t>7个工作日可变现资产</w:t>
      </w:r>
      <w:r>
        <w:rPr>
          <w:rFonts w:hint="eastAsia" w:ascii="楷体" w:hAnsi="楷体" w:eastAsia="楷体" w:cs="Calibri"/>
          <w:kern w:val="2"/>
          <w:sz w:val="24"/>
          <w:szCs w:val="24"/>
          <w:lang w:eastAsia="zh-CN"/>
        </w:rPr>
        <w:t>：</w:t>
      </w:r>
      <w:r>
        <w:rPr>
          <w:rFonts w:hint="eastAsia" w:ascii="楷体" w:hAnsi="楷体" w:eastAsia="楷体" w:cs="Calibri"/>
          <w:kern w:val="2"/>
          <w:sz w:val="24"/>
          <w:szCs w:val="24"/>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5"/>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期间与日期</w:t>
      </w:r>
    </w:p>
    <w:p>
      <w:pPr>
        <w:numPr>
          <w:ilvl w:val="0"/>
          <w:numId w:val="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工作日：指国家法定工作日。</w:t>
      </w:r>
    </w:p>
    <w:p>
      <w:pPr>
        <w:numPr>
          <w:ilvl w:val="0"/>
          <w:numId w:val="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交易日：</w:t>
      </w:r>
      <w:r>
        <w:rPr>
          <w:rFonts w:ascii="楷体" w:hAnsi="楷体" w:eastAsia="楷体" w:cs="Calibri"/>
          <w:sz w:val="24"/>
          <w:szCs w:val="24"/>
        </w:rPr>
        <w:t>指上海证券交易所和深圳证券交易所的正常开盘交易日</w:t>
      </w:r>
      <w:r>
        <w:rPr>
          <w:rFonts w:hint="eastAsia" w:ascii="楷体" w:hAnsi="楷体" w:eastAsia="楷体" w:cs="Calibri"/>
          <w:sz w:val="24"/>
          <w:szCs w:val="24"/>
        </w:rPr>
        <w:t>。</w:t>
      </w:r>
    </w:p>
    <w:p>
      <w:pPr>
        <w:numPr>
          <w:ilvl w:val="0"/>
          <w:numId w:val="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成立日：指本产品开始运作的日期。</w:t>
      </w:r>
    </w:p>
    <w:p>
      <w:pPr>
        <w:numPr>
          <w:ilvl w:val="0"/>
          <w:numId w:val="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份额登记日/份额确认日：指管理人对投资者提交的认购申请进行份额登记的日期。</w:t>
      </w:r>
    </w:p>
    <w:p>
      <w:pPr>
        <w:numPr>
          <w:ilvl w:val="0"/>
          <w:numId w:val="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终止日/到期日：指本产品终止的日期。</w:t>
      </w:r>
    </w:p>
    <w:p>
      <w:pPr>
        <w:numPr>
          <w:ilvl w:val="0"/>
          <w:numId w:val="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估值日：指产品管理人对理财产品项下资产进行估值的日期。</w:t>
      </w:r>
    </w:p>
    <w:p>
      <w:pPr>
        <w:numPr>
          <w:ilvl w:val="0"/>
          <w:numId w:val="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兑付日：指投资者理财资金到达投资者资金账户的日期。</w:t>
      </w:r>
    </w:p>
    <w:p>
      <w:pPr>
        <w:numPr>
          <w:ilvl w:val="0"/>
          <w:numId w:val="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募集期：指理财产品成立前，理财产品管理人接受理财产品认购的时间。</w:t>
      </w:r>
    </w:p>
    <w:p>
      <w:pPr>
        <w:numPr>
          <w:ilvl w:val="0"/>
          <w:numId w:val="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投资周期：投资周期指投资者持有理财产品份额所对应的理财资金由产品管理人进行投资运作的一段完整期间，每一个投资周期为该投资周期起始日至该投资周期终止日的理财期间。投资周期起始日：指每一个投资周期开始的日期。投资周期终止日：指每一个投资周期结束的日期。</w:t>
      </w:r>
    </w:p>
    <w:p>
      <w:pPr>
        <w:numPr>
          <w:ilvl w:val="0"/>
          <w:numId w:val="8"/>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开放日：指投资周期终止日。开放计划内的申购、赎回申请，将以开放日的净值进行确认。</w:t>
      </w:r>
    </w:p>
    <w:p>
      <w:pPr>
        <w:numPr>
          <w:ilvl w:val="0"/>
          <w:numId w:val="8"/>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产品存续期：指自理财产品成立日起，至理财产品终止日的期间。</w:t>
      </w:r>
    </w:p>
    <w:p>
      <w:pPr>
        <w:numPr>
          <w:ilvl w:val="0"/>
          <w:numId w:val="5"/>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其他</w:t>
      </w:r>
    </w:p>
    <w:p>
      <w:pPr>
        <w:numPr>
          <w:ilvl w:val="0"/>
          <w:numId w:val="9"/>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元：指人民币元。</w:t>
      </w:r>
    </w:p>
    <w:p>
      <w:pPr>
        <w:numPr>
          <w:ilvl w:val="0"/>
          <w:numId w:val="9"/>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适用法律：指在理财销售文件签署日和履行过程中，中国（不包括香港特别行政区、澳门特别行政区和台湾地区）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numPr>
          <w:ilvl w:val="0"/>
          <w:numId w:val="9"/>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lang w:val="en-US" w:eastAsia="zh-CN"/>
        </w:rPr>
        <w:t>不可抗力：指理财产品合同各方当事人所不能预见、不能避免且不能克服的客观情况，使得任何一方当事人无法及时履行理财合同的全部或部分义务，该类事件包括但不限于：</w:t>
      </w:r>
    </w:p>
    <w:p>
      <w:pPr>
        <w:numPr>
          <w:ilvl w:val="0"/>
          <w:numId w:val="10"/>
        </w:numPr>
        <w:tabs>
          <w:tab w:val="left" w:pos="728"/>
        </w:tabs>
        <w:ind w:left="420" w:leftChars="200" w:firstLine="0" w:firstLineChars="0"/>
        <w:rPr>
          <w:rFonts w:hint="eastAsia" w:ascii="楷体" w:hAnsi="楷体" w:eastAsia="楷体" w:cs="Calibri"/>
          <w:sz w:val="24"/>
          <w:szCs w:val="24"/>
          <w:lang w:val="en-US" w:eastAsia="zh-CN"/>
        </w:rPr>
      </w:pPr>
      <w:r>
        <w:rPr>
          <w:rFonts w:hint="eastAsia" w:ascii="楷体" w:hAnsi="楷体" w:eastAsia="楷体" w:cs="Calibri"/>
          <w:sz w:val="24"/>
          <w:szCs w:val="24"/>
          <w:lang w:val="en-US" w:eastAsia="zh-CN"/>
        </w:rPr>
        <w:t>地震、海啸、台风、洪水、火灾、停电、严重传染病等；</w:t>
      </w:r>
    </w:p>
    <w:p>
      <w:pPr>
        <w:numPr>
          <w:ilvl w:val="0"/>
          <w:numId w:val="10"/>
        </w:numPr>
        <w:tabs>
          <w:tab w:val="left" w:pos="728"/>
        </w:tabs>
        <w:ind w:left="420" w:leftChars="200" w:firstLine="0" w:firstLineChars="0"/>
        <w:rPr>
          <w:rFonts w:hint="default" w:ascii="楷体" w:hAnsi="楷体" w:eastAsia="楷体" w:cs="Calibri"/>
          <w:sz w:val="24"/>
          <w:szCs w:val="24"/>
          <w:lang w:val="en-US" w:eastAsia="zh-CN"/>
        </w:rPr>
      </w:pPr>
      <w:r>
        <w:rPr>
          <w:rFonts w:hint="eastAsia" w:ascii="楷体" w:hAnsi="楷体" w:eastAsia="楷体" w:cs="Calibri"/>
          <w:sz w:val="24"/>
          <w:szCs w:val="24"/>
          <w:lang w:val="en-US" w:eastAsia="zh-CN"/>
        </w:rPr>
        <w:t>战争、政变、恐怖主义、骚乱、罢工等；</w:t>
      </w:r>
    </w:p>
    <w:p>
      <w:pPr>
        <w:numPr>
          <w:ilvl w:val="0"/>
          <w:numId w:val="0"/>
        </w:numPr>
        <w:tabs>
          <w:tab w:val="left" w:pos="728"/>
        </w:tabs>
        <w:ind w:left="0" w:leftChars="0" w:firstLine="408" w:firstLineChars="170"/>
        <w:rPr>
          <w:rFonts w:hint="eastAsia" w:ascii="楷体" w:hAnsi="楷体" w:eastAsia="楷体" w:cs="Calibri"/>
          <w:sz w:val="24"/>
          <w:szCs w:val="24"/>
          <w:lang w:val="en-US" w:eastAsia="zh-CN"/>
        </w:rPr>
      </w:pPr>
      <w:r>
        <w:rPr>
          <w:rFonts w:hint="eastAsia" w:ascii="楷体" w:hAnsi="楷体" w:eastAsia="楷体" w:cs="Calibri"/>
          <w:sz w:val="24"/>
          <w:szCs w:val="24"/>
          <w:lang w:val="en-US" w:eastAsia="zh-CN"/>
        </w:rPr>
        <w:t>（3）新的法律法规、国家政策颁布实施导致原适用的法律法规、国家政策失效；</w:t>
      </w:r>
    </w:p>
    <w:p>
      <w:pPr>
        <w:numPr>
          <w:ilvl w:val="0"/>
          <w:numId w:val="0"/>
        </w:numPr>
        <w:tabs>
          <w:tab w:val="left" w:pos="728"/>
        </w:tabs>
        <w:ind w:left="0" w:leftChars="0" w:firstLine="408" w:firstLineChars="170"/>
        <w:rPr>
          <w:rFonts w:hint="eastAsia" w:ascii="楷体" w:hAnsi="楷体" w:eastAsia="楷体" w:cs="Calibri"/>
          <w:sz w:val="24"/>
          <w:szCs w:val="24"/>
          <w:lang w:val="en-US" w:eastAsia="zh-CN"/>
        </w:rPr>
      </w:pPr>
      <w:r>
        <w:rPr>
          <w:rFonts w:hint="eastAsia" w:ascii="楷体" w:hAnsi="楷体" w:eastAsia="楷体" w:cs="Calibri"/>
          <w:sz w:val="24"/>
          <w:szCs w:val="24"/>
          <w:lang w:val="en-US" w:eastAsia="zh-CN"/>
        </w:rPr>
        <w:t>（4）因不可归咎于理财产品合同当事人的事由，金融监管机构强制要求终止该理财产品；</w:t>
      </w:r>
    </w:p>
    <w:p>
      <w:pPr>
        <w:numPr>
          <w:ilvl w:val="0"/>
          <w:numId w:val="0"/>
        </w:numPr>
        <w:tabs>
          <w:tab w:val="left" w:pos="728"/>
        </w:tabs>
        <w:ind w:left="0" w:leftChars="0" w:firstLine="408" w:firstLineChars="170"/>
        <w:rPr>
          <w:rFonts w:hint="eastAsia" w:ascii="楷体" w:hAnsi="楷体" w:eastAsia="楷体" w:cs="Calibri"/>
          <w:sz w:val="24"/>
          <w:szCs w:val="24"/>
        </w:rPr>
      </w:pPr>
      <w:r>
        <w:rPr>
          <w:rFonts w:hint="eastAsia" w:ascii="楷体" w:hAnsi="楷体" w:eastAsia="楷体" w:cs="Calibri"/>
          <w:sz w:val="24"/>
          <w:szCs w:val="24"/>
          <w:lang w:val="en-US" w:eastAsia="zh-CN"/>
        </w:rPr>
        <w:t>（5）网络系统遭受攻击、电信部门技术调整或故障等原因导致的服务中断和延迟等。</w:t>
      </w:r>
    </w:p>
    <w:p>
      <w:pPr>
        <w:numPr>
          <w:ilvl w:val="0"/>
          <w:numId w:val="3"/>
        </w:numPr>
        <w:tabs>
          <w:tab w:val="left" w:pos="1134"/>
        </w:tabs>
        <w:ind w:firstLine="562" w:firstLineChars="200"/>
        <w:outlineLvl w:val="0"/>
        <w:rPr>
          <w:rFonts w:ascii="楷体" w:hAnsi="楷体" w:eastAsia="楷体"/>
          <w:b/>
          <w:sz w:val="28"/>
          <w:szCs w:val="28"/>
        </w:rPr>
      </w:pPr>
      <w:r>
        <w:rPr>
          <w:rFonts w:hint="eastAsia" w:ascii="楷体" w:hAnsi="楷体" w:eastAsia="楷体"/>
          <w:b/>
          <w:sz w:val="28"/>
          <w:szCs w:val="28"/>
        </w:rPr>
        <w:t>风险评级</w:t>
      </w:r>
    </w:p>
    <w:p>
      <w:pPr>
        <w:ind w:firstLine="480" w:firstLineChars="200"/>
        <w:rPr>
          <w:rFonts w:hint="eastAsia" w:ascii="楷体" w:hAnsi="楷体" w:eastAsia="楷体"/>
          <w:sz w:val="24"/>
          <w:szCs w:val="24"/>
        </w:rPr>
      </w:pPr>
      <w:r>
        <w:rPr>
          <w:rFonts w:hint="eastAsia" w:ascii="楷体" w:hAnsi="楷体" w:eastAsia="楷体"/>
          <w:sz w:val="24"/>
          <w:szCs w:val="24"/>
        </w:rPr>
        <w:t>本理财产品经苏银理财内部风险评级为</w:t>
      </w:r>
      <w:r>
        <w:rPr>
          <w:rFonts w:hint="eastAsia" w:ascii="楷体" w:hAnsi="楷体" w:eastAsia="楷体"/>
          <w:b/>
          <w:sz w:val="24"/>
          <w:szCs w:val="24"/>
          <w:u w:val="single"/>
        </w:rPr>
        <w:t>★★二级，适合中低风险型投资者，适合投资策略为稳健发展</w:t>
      </w:r>
      <w:r>
        <w:rPr>
          <w:rFonts w:hint="eastAsia" w:ascii="楷体" w:hAnsi="楷体" w:eastAsia="楷体"/>
          <w:b/>
          <w:sz w:val="24"/>
          <w:szCs w:val="24"/>
          <w:u w:val="single"/>
          <w:lang w:val="en-US" w:eastAsia="zh-CN"/>
        </w:rPr>
        <w:t>的投资者</w:t>
      </w:r>
      <w:r>
        <w:rPr>
          <w:rFonts w:hint="eastAsia" w:ascii="楷体" w:hAnsi="楷体" w:eastAsia="楷体"/>
          <w:sz w:val="24"/>
          <w:szCs w:val="24"/>
        </w:rPr>
        <w:t>。本评级为苏银理财有限责任公司内部评级，由苏银理财根据理财产品的投资组合、同类产品过往业绩和风险状况等因素，对理财产品进行评级，仅供客户参考。</w:t>
      </w:r>
    </w:p>
    <w:p>
      <w:pPr>
        <w:ind w:firstLine="480" w:firstLineChars="200"/>
        <w:rPr>
          <w:rFonts w:hint="eastAsia" w:ascii="楷体" w:hAnsi="楷体" w:eastAsia="楷体"/>
          <w:sz w:val="24"/>
          <w:szCs w:val="24"/>
        </w:rPr>
      </w:pPr>
      <w:r>
        <w:rPr>
          <w:rFonts w:hint="eastAsia" w:ascii="楷体" w:hAnsi="楷体" w:eastAsia="楷体"/>
          <w:sz w:val="24"/>
          <w:szCs w:val="24"/>
          <w:highlight w:val="none"/>
        </w:rPr>
        <w:t>如本产品通过代理销售机构渠道销售，</w:t>
      </w:r>
      <w:r>
        <w:rPr>
          <w:rFonts w:hint="eastAsia" w:ascii="楷体" w:hAnsi="楷体" w:eastAsia="楷体"/>
          <w:sz w:val="24"/>
          <w:szCs w:val="24"/>
        </w:rPr>
        <w:t>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p>
    <w:p>
      <w:pPr>
        <w:ind w:firstLine="482" w:firstLineChars="200"/>
        <w:rPr>
          <w:rFonts w:ascii="楷体" w:hAnsi="楷体" w:eastAsia="楷体"/>
          <w:b/>
          <w:sz w:val="24"/>
          <w:szCs w:val="24"/>
          <w:u w:val="single"/>
        </w:rPr>
      </w:pPr>
      <w:r>
        <w:rPr>
          <w:rFonts w:hint="eastAsia" w:ascii="楷体" w:hAnsi="楷体" w:eastAsia="楷体"/>
          <w:b/>
          <w:bCs/>
          <w:sz w:val="24"/>
          <w:szCs w:val="24"/>
          <w:highlight w:val="none"/>
          <w:u w:val="single"/>
        </w:rPr>
        <w:t>如本产品通过代理销售机构渠道销售，</w:t>
      </w:r>
      <w:r>
        <w:rPr>
          <w:rFonts w:hint="eastAsia" w:ascii="楷体" w:hAnsi="楷体" w:eastAsia="楷体"/>
          <w:b/>
          <w:sz w:val="24"/>
          <w:szCs w:val="24"/>
          <w:u w:val="single"/>
        </w:rPr>
        <w:t>理财产品评级以代理销售机构最终披露的评级结果为准。</w:t>
      </w:r>
    </w:p>
    <w:p>
      <w:pPr>
        <w:ind w:firstLine="480" w:firstLineChars="200"/>
        <w:rPr>
          <w:rFonts w:hint="eastAsia" w:ascii="楷体" w:hAnsi="楷体" w:eastAsia="楷体"/>
          <w:sz w:val="24"/>
          <w:szCs w:val="24"/>
        </w:rPr>
      </w:pPr>
      <w:r>
        <w:rPr>
          <w:rFonts w:hint="eastAsia" w:ascii="楷体" w:hAnsi="楷体" w:eastAsia="楷体"/>
          <w:sz w:val="24"/>
          <w:szCs w:val="24"/>
        </w:rPr>
        <w:t>销售机构负责完成投资者风险承受能力评估，并在遵循投资者适当性原则的前提下进行本理财产品的销售活动。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842"/>
        <w:gridCol w:w="2268"/>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43"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风险星级</w:t>
            </w:r>
          </w:p>
        </w:tc>
        <w:tc>
          <w:tcPr>
            <w:tcW w:w="1842"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风险级别</w:t>
            </w:r>
          </w:p>
        </w:tc>
        <w:tc>
          <w:tcPr>
            <w:tcW w:w="2268"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适合的投资者类别</w:t>
            </w:r>
          </w:p>
        </w:tc>
        <w:tc>
          <w:tcPr>
            <w:tcW w:w="2084"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143" w:type="dxa"/>
            <w:tcBorders>
              <w:bottom w:val="single" w:color="auto" w:sz="4" w:space="0"/>
            </w:tcBorders>
            <w:noWrap w:val="0"/>
            <w:vAlign w:val="bottom"/>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w:t>
            </w:r>
          </w:p>
        </w:tc>
        <w:tc>
          <w:tcPr>
            <w:tcW w:w="1842" w:type="dxa"/>
            <w:tcBorders>
              <w:bottom w:val="single" w:color="auto" w:sz="4" w:space="0"/>
            </w:tcBorders>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一级（PR1）</w:t>
            </w:r>
          </w:p>
        </w:tc>
        <w:tc>
          <w:tcPr>
            <w:tcW w:w="2268" w:type="dxa"/>
            <w:tcBorders>
              <w:bottom w:val="single" w:color="auto" w:sz="4" w:space="0"/>
            </w:tcBorders>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低风险型</w:t>
            </w:r>
          </w:p>
        </w:tc>
        <w:tc>
          <w:tcPr>
            <w:tcW w:w="2084" w:type="dxa"/>
            <w:tcBorders>
              <w:bottom w:val="single" w:color="auto" w:sz="4" w:space="0"/>
            </w:tcBorders>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autoSpaceDE w:val="0"/>
              <w:autoSpaceDN w:val="0"/>
              <w:adjustRightInd w:val="0"/>
              <w:jc w:val="center"/>
              <w:rPr>
                <w:rFonts w:ascii="楷体" w:hAnsi="楷体" w:eastAsia="楷体" w:cs="浠垮畫"/>
                <w:b/>
                <w:kern w:val="0"/>
                <w:sz w:val="24"/>
                <w:szCs w:val="24"/>
              </w:rPr>
            </w:pPr>
            <w:r>
              <w:rPr>
                <w:rFonts w:hint="eastAsia" w:ascii="楷体" w:hAnsi="楷体" w:eastAsia="楷体" w:cs="浠垮畫"/>
                <w:b/>
                <w:kern w:val="0"/>
                <w:sz w:val="24"/>
                <w:szCs w:val="24"/>
              </w:rPr>
              <w:t>★★</w:t>
            </w:r>
          </w:p>
        </w:tc>
        <w:tc>
          <w:tcPr>
            <w:tcW w:w="1842" w:type="dxa"/>
            <w:noWrap w:val="0"/>
            <w:vAlign w:val="center"/>
          </w:tcPr>
          <w:p>
            <w:pPr>
              <w:autoSpaceDE w:val="0"/>
              <w:autoSpaceDN w:val="0"/>
              <w:adjustRightInd w:val="0"/>
              <w:jc w:val="center"/>
              <w:rPr>
                <w:rFonts w:ascii="楷体" w:hAnsi="楷体" w:eastAsia="楷体" w:cs="浠垮畫"/>
                <w:b/>
                <w:kern w:val="0"/>
                <w:sz w:val="24"/>
                <w:szCs w:val="24"/>
              </w:rPr>
            </w:pPr>
            <w:r>
              <w:rPr>
                <w:rFonts w:hint="eastAsia" w:ascii="楷体" w:hAnsi="楷体" w:eastAsia="楷体" w:cs="浠垮畫"/>
                <w:b/>
                <w:kern w:val="0"/>
                <w:sz w:val="24"/>
                <w:szCs w:val="24"/>
              </w:rPr>
              <w:t>二级（PR2）</w:t>
            </w:r>
          </w:p>
        </w:tc>
        <w:tc>
          <w:tcPr>
            <w:tcW w:w="2268" w:type="dxa"/>
            <w:noWrap w:val="0"/>
            <w:vAlign w:val="center"/>
          </w:tcPr>
          <w:p>
            <w:pPr>
              <w:autoSpaceDE w:val="0"/>
              <w:autoSpaceDN w:val="0"/>
              <w:adjustRightInd w:val="0"/>
              <w:jc w:val="center"/>
              <w:rPr>
                <w:rFonts w:ascii="楷体" w:hAnsi="楷体" w:eastAsia="楷体" w:cs="浠垮畫"/>
                <w:b/>
                <w:kern w:val="0"/>
                <w:sz w:val="24"/>
                <w:szCs w:val="24"/>
              </w:rPr>
            </w:pPr>
            <w:r>
              <w:rPr>
                <w:rFonts w:hint="eastAsia" w:ascii="楷体" w:hAnsi="楷体" w:eastAsia="楷体" w:cs="浠垮畫"/>
                <w:b/>
                <w:kern w:val="0"/>
                <w:sz w:val="24"/>
                <w:szCs w:val="24"/>
              </w:rPr>
              <w:t>中低风险型</w:t>
            </w:r>
          </w:p>
        </w:tc>
        <w:tc>
          <w:tcPr>
            <w:tcW w:w="2084" w:type="dxa"/>
            <w:noWrap w:val="0"/>
            <w:vAlign w:val="center"/>
          </w:tcPr>
          <w:p>
            <w:pPr>
              <w:autoSpaceDE w:val="0"/>
              <w:autoSpaceDN w:val="0"/>
              <w:adjustRightInd w:val="0"/>
              <w:jc w:val="center"/>
              <w:rPr>
                <w:rFonts w:ascii="楷体" w:hAnsi="楷体" w:eastAsia="楷体" w:cs="浠垮畫"/>
                <w:b/>
                <w:kern w:val="0"/>
                <w:sz w:val="24"/>
                <w:szCs w:val="24"/>
              </w:rPr>
            </w:pPr>
            <w:r>
              <w:rPr>
                <w:rFonts w:hint="eastAsia" w:ascii="楷体" w:hAnsi="楷体" w:eastAsia="楷体" w:cs="浠垮畫"/>
                <w:b/>
                <w:kern w:val="0"/>
                <w:sz w:val="24"/>
                <w:szCs w:val="24"/>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三级（PR3）</w:t>
            </w:r>
          </w:p>
        </w:tc>
        <w:tc>
          <w:tcPr>
            <w:tcW w:w="2268"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中风险型</w:t>
            </w:r>
          </w:p>
        </w:tc>
        <w:tc>
          <w:tcPr>
            <w:tcW w:w="2084"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2143" w:type="dxa"/>
            <w:noWrap w:val="0"/>
            <w:vAlign w:val="bottom"/>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四级（PR4）</w:t>
            </w:r>
          </w:p>
        </w:tc>
        <w:tc>
          <w:tcPr>
            <w:tcW w:w="2268"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中高风险型</w:t>
            </w:r>
          </w:p>
        </w:tc>
        <w:tc>
          <w:tcPr>
            <w:tcW w:w="2084"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43" w:type="dxa"/>
            <w:noWrap w:val="0"/>
            <w:vAlign w:val="bottom"/>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五级（PR5）</w:t>
            </w:r>
          </w:p>
        </w:tc>
        <w:tc>
          <w:tcPr>
            <w:tcW w:w="2268"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高风险型</w:t>
            </w:r>
          </w:p>
        </w:tc>
        <w:tc>
          <w:tcPr>
            <w:tcW w:w="2084"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风险承受</w:t>
            </w:r>
          </w:p>
        </w:tc>
      </w:tr>
    </w:tbl>
    <w:p>
      <w:pPr>
        <w:numPr>
          <w:ilvl w:val="0"/>
          <w:numId w:val="3"/>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投资管理</w:t>
      </w:r>
    </w:p>
    <w:p>
      <w:pPr>
        <w:numPr>
          <w:ilvl w:val="0"/>
          <w:numId w:val="11"/>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投资范围和比例</w:t>
      </w:r>
    </w:p>
    <w:p>
      <w:pPr>
        <w:ind w:firstLine="480" w:firstLineChars="200"/>
        <w:rPr>
          <w:rFonts w:hint="eastAsia" w:ascii="楷体" w:hAnsi="楷体" w:eastAsia="楷体"/>
          <w:sz w:val="24"/>
          <w:szCs w:val="24"/>
        </w:rPr>
      </w:pPr>
      <w:r>
        <w:rPr>
          <w:rFonts w:hint="eastAsia" w:ascii="楷体" w:hAnsi="楷体" w:eastAsia="楷体"/>
          <w:sz w:val="24"/>
          <w:szCs w:val="24"/>
        </w:rPr>
        <w:t>本理财产品直接或间接投资于货币市场工具类资产、标准化债权类资产、非标准化债权类资产和监管机构允许投资的其他资产。具体资产投资比例为：货币市场工具、债券以及符合监管要求的固定收益类资产占产品资产总值比例为80%-100%，符合监管要求的其他资产占产品资产总值比例0%</w:t>
      </w:r>
      <w:r>
        <w:rPr>
          <w:rFonts w:hint="eastAsia" w:ascii="楷体" w:hAnsi="楷体" w:eastAsia="楷体"/>
          <w:sz w:val="24"/>
          <w:szCs w:val="24"/>
          <w:lang w:val="en-US" w:eastAsia="zh-CN"/>
        </w:rPr>
        <w:t>-</w:t>
      </w:r>
      <w:r>
        <w:rPr>
          <w:rFonts w:hint="eastAsia" w:ascii="楷体" w:hAnsi="楷体" w:eastAsia="楷体"/>
          <w:sz w:val="24"/>
          <w:szCs w:val="24"/>
        </w:rPr>
        <w:t>20%，其中非标准化债权类资产合计投资比例不高于产品净资产50%。</w:t>
      </w:r>
    </w:p>
    <w:p>
      <w:pPr>
        <w:ind w:firstLine="480" w:firstLineChars="200"/>
        <w:rPr>
          <w:rFonts w:hint="eastAsia" w:ascii="楷体" w:hAnsi="楷体" w:eastAsia="楷体"/>
          <w:sz w:val="24"/>
          <w:szCs w:val="24"/>
        </w:rPr>
      </w:pPr>
      <w:r>
        <w:rPr>
          <w:rFonts w:hint="eastAsia" w:ascii="楷体" w:hAnsi="楷体" w:eastAsia="楷体"/>
          <w:sz w:val="24"/>
          <w:szCs w:val="24"/>
          <w:lang w:val="en-US" w:eastAsia="zh-CN"/>
        </w:rPr>
        <w:t>本理财产品</w:t>
      </w:r>
      <w:r>
        <w:rPr>
          <w:rFonts w:hint="eastAsia" w:ascii="楷体" w:hAnsi="楷体" w:eastAsia="楷体"/>
          <w:sz w:val="24"/>
          <w:szCs w:val="24"/>
        </w:rPr>
        <w:t>在开放日及开放日前7个工作日内持有不低于产品资产净值5%的现金或者到期日在一年以内的国债、中央银行票据和政策性金融债券；直接投资于流动性受限资产的市值在开放日不得超过产品资产净值的15%；在开放日前一工作日内，7个工作日可变现资产的可变现价值应当不低于产品资产净值的10%；每日确认且需当日支付的净赎回申请不超过前一工作日理财产品7个工作日可变现资产的可变现价值。</w:t>
      </w:r>
    </w:p>
    <w:p>
      <w:pPr>
        <w:ind w:firstLine="480" w:firstLineChars="200"/>
        <w:rPr>
          <w:rFonts w:hint="eastAsia" w:ascii="楷体" w:hAnsi="楷体" w:eastAsia="楷体"/>
          <w:sz w:val="24"/>
          <w:szCs w:val="24"/>
        </w:rPr>
      </w:pPr>
      <w:r>
        <w:rPr>
          <w:rFonts w:hint="eastAsia" w:ascii="楷体" w:hAnsi="楷体" w:eastAsia="楷体"/>
          <w:sz w:val="24"/>
          <w:szCs w:val="24"/>
        </w:rPr>
        <w:t>产品存续期内若本理财产品投资非标准化债权资产，管理人将选择优质企业作为融资人，且融资项目已履行管理人内部审批流程，融资人业务经营正常，融资项目还款来源明确，并在本理财产品的定期报告中披露。</w:t>
      </w:r>
    </w:p>
    <w:p>
      <w:pPr>
        <w:ind w:firstLine="480" w:firstLineChars="200"/>
        <w:rPr>
          <w:rFonts w:hint="eastAsia" w:ascii="楷体" w:hAnsi="楷体" w:eastAsia="楷体"/>
          <w:sz w:val="24"/>
          <w:szCs w:val="24"/>
          <w:lang w:eastAsia="zh-CN"/>
        </w:rPr>
      </w:pPr>
      <w:r>
        <w:rPr>
          <w:rFonts w:hint="eastAsia" w:ascii="楷体" w:hAnsi="楷体" w:eastAsia="楷体"/>
          <w:sz w:val="24"/>
          <w:szCs w:val="24"/>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r>
        <w:rPr>
          <w:rFonts w:hint="eastAsia" w:ascii="楷体" w:hAnsi="楷体" w:eastAsia="楷体"/>
          <w:sz w:val="24"/>
          <w:szCs w:val="24"/>
          <w:lang w:eastAsia="zh-CN"/>
        </w:rPr>
        <w:t>。</w:t>
      </w:r>
    </w:p>
    <w:p>
      <w:pPr>
        <w:numPr>
          <w:ilvl w:val="0"/>
          <w:numId w:val="11"/>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投资集中度限制</w:t>
      </w:r>
    </w:p>
    <w:p>
      <w:pPr>
        <w:numPr>
          <w:ilvl w:val="0"/>
          <w:numId w:val="12"/>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本产品持有单只证券或者单只公募证券投资基金的市值不得超过产品净资产的</w:t>
      </w:r>
      <w:r>
        <w:rPr>
          <w:rFonts w:ascii="楷体" w:hAnsi="楷体" w:eastAsia="楷体" w:cs="Calibri"/>
          <w:sz w:val="24"/>
          <w:szCs w:val="24"/>
        </w:rPr>
        <w:t>10%</w:t>
      </w:r>
      <w:r>
        <w:rPr>
          <w:rFonts w:hint="eastAsia" w:ascii="楷体" w:hAnsi="楷体" w:eastAsia="楷体" w:cs="Calibri"/>
          <w:sz w:val="24"/>
          <w:szCs w:val="24"/>
        </w:rPr>
        <w:t>。</w:t>
      </w:r>
    </w:p>
    <w:p>
      <w:pPr>
        <w:numPr>
          <w:ilvl w:val="0"/>
          <w:numId w:val="12"/>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管理人全部公募产品持有单只证券或单只公募证券投资基金的市值，不得超过该证券市值或该公募证券投资基金市值的</w:t>
      </w:r>
      <w:r>
        <w:rPr>
          <w:rFonts w:ascii="楷体" w:hAnsi="楷体" w:eastAsia="楷体" w:cs="Calibri"/>
          <w:sz w:val="24"/>
          <w:szCs w:val="24"/>
        </w:rPr>
        <w:t>30%</w:t>
      </w:r>
      <w:r>
        <w:rPr>
          <w:rFonts w:hint="eastAsia" w:ascii="楷体" w:hAnsi="楷体" w:eastAsia="楷体" w:cs="Calibri"/>
          <w:sz w:val="24"/>
          <w:szCs w:val="24"/>
        </w:rPr>
        <w:t>。</w:t>
      </w:r>
    </w:p>
    <w:p>
      <w:pPr>
        <w:numPr>
          <w:ilvl w:val="0"/>
          <w:numId w:val="12"/>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管理人全部产品持有单一上市公司发行的股票，不得超过该上市公司可流通股票的30%。</w:t>
      </w:r>
    </w:p>
    <w:p>
      <w:pPr>
        <w:ind w:firstLine="480" w:firstLineChars="200"/>
        <w:rPr>
          <w:rFonts w:hint="eastAsia" w:ascii="楷体" w:hAnsi="楷体" w:eastAsia="楷体"/>
          <w:sz w:val="24"/>
          <w:szCs w:val="24"/>
        </w:rPr>
      </w:pPr>
      <w:r>
        <w:rPr>
          <w:rFonts w:hint="eastAsia" w:ascii="楷体" w:hAnsi="楷体" w:eastAsia="楷体"/>
          <w:sz w:val="24"/>
          <w:szCs w:val="24"/>
        </w:rPr>
        <w:t>金融监督管理部门另有规定的除外。</w:t>
      </w:r>
    </w:p>
    <w:p>
      <w:pPr>
        <w:ind w:firstLine="480" w:firstLineChars="200"/>
        <w:rPr>
          <w:rFonts w:hint="eastAsia" w:ascii="楷体" w:hAnsi="楷体" w:eastAsia="楷体"/>
          <w:sz w:val="24"/>
          <w:szCs w:val="24"/>
        </w:rPr>
      </w:pPr>
      <w:r>
        <w:rPr>
          <w:rFonts w:hint="eastAsia" w:ascii="楷体" w:hAnsi="楷体" w:eastAsia="楷体"/>
          <w:sz w:val="24"/>
          <w:szCs w:val="24"/>
        </w:rPr>
        <w:t>非因管理人主观因素导致突破上述比例限制的，产品管理人在流动性受限资产可出售、可转让或者恢复交易的</w:t>
      </w:r>
      <w:r>
        <w:rPr>
          <w:rFonts w:ascii="楷体" w:hAnsi="楷体" w:eastAsia="楷体"/>
          <w:sz w:val="24"/>
          <w:szCs w:val="24"/>
        </w:rPr>
        <w:t>1</w:t>
      </w:r>
      <w:r>
        <w:rPr>
          <w:rFonts w:hint="eastAsia" w:ascii="楷体" w:hAnsi="楷体" w:eastAsia="楷体"/>
          <w:sz w:val="24"/>
          <w:szCs w:val="24"/>
        </w:rPr>
        <w:t>0个交易日内调整至符合要求。</w:t>
      </w:r>
    </w:p>
    <w:p>
      <w:pPr>
        <w:numPr>
          <w:ilvl w:val="0"/>
          <w:numId w:val="11"/>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杠杆水平限制</w:t>
      </w:r>
    </w:p>
    <w:p>
      <w:pPr>
        <w:ind w:firstLine="480" w:firstLineChars="200"/>
        <w:rPr>
          <w:rFonts w:hint="eastAsia" w:ascii="楷体" w:hAnsi="楷体" w:eastAsia="楷体"/>
          <w:sz w:val="24"/>
          <w:szCs w:val="24"/>
        </w:rPr>
      </w:pPr>
      <w:r>
        <w:rPr>
          <w:rFonts w:hint="eastAsia" w:ascii="楷体" w:hAnsi="楷体" w:eastAsia="楷体"/>
          <w:sz w:val="24"/>
          <w:szCs w:val="24"/>
        </w:rPr>
        <w:t>本理财产品资产总值/理财产品资产净值不超过140%（如监管有最新规定的参照监管规定调整）。</w:t>
      </w:r>
    </w:p>
    <w:p>
      <w:pPr>
        <w:numPr>
          <w:ilvl w:val="0"/>
          <w:numId w:val="11"/>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投资范围调整</w:t>
      </w:r>
    </w:p>
    <w:p>
      <w:pPr>
        <w:ind w:firstLine="480" w:firstLineChars="200"/>
        <w:rPr>
          <w:rFonts w:hint="eastAsia" w:ascii="楷体" w:hAnsi="楷体" w:eastAsia="楷体"/>
          <w:sz w:val="24"/>
          <w:szCs w:val="24"/>
        </w:rPr>
      </w:pPr>
      <w:r>
        <w:rPr>
          <w:rFonts w:hint="eastAsia" w:ascii="楷体" w:hAnsi="楷体" w:eastAsia="楷体"/>
          <w:sz w:val="24"/>
          <w:szCs w:val="24"/>
        </w:rPr>
        <w:t>若法律法规、国家监管政策或市场情况发生变化，苏银理财在不改变产品类型的情况下，可对本说明书中已约定的投资范围、投资品种、投资比例以及收费项目、条件、标准和方式进行调整，产品管理人将于调整事项生效前2个工作日通过短信及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numPr>
          <w:ilvl w:val="0"/>
          <w:numId w:val="3"/>
        </w:numPr>
        <w:tabs>
          <w:tab w:val="left" w:pos="1134"/>
        </w:tabs>
        <w:ind w:firstLine="562" w:firstLineChars="200"/>
        <w:outlineLvl w:val="0"/>
        <w:rPr>
          <w:rFonts w:ascii="楷体" w:hAnsi="楷体" w:eastAsia="楷体"/>
          <w:b/>
          <w:sz w:val="28"/>
          <w:szCs w:val="28"/>
        </w:rPr>
      </w:pPr>
      <w:r>
        <w:rPr>
          <w:rFonts w:hint="eastAsia" w:ascii="楷体" w:hAnsi="楷体" w:eastAsia="楷体"/>
          <w:b/>
          <w:sz w:val="28"/>
          <w:szCs w:val="28"/>
        </w:rPr>
        <w:t>产品认购</w:t>
      </w:r>
    </w:p>
    <w:p>
      <w:pPr>
        <w:numPr>
          <w:ilvl w:val="0"/>
          <w:numId w:val="13"/>
        </w:numPr>
        <w:tabs>
          <w:tab w:val="left" w:pos="993"/>
        </w:tabs>
        <w:ind w:left="0" w:firstLine="480" w:firstLineChars="200"/>
        <w:rPr>
          <w:rFonts w:hint="eastAsia" w:ascii="楷体" w:hAnsi="楷体" w:eastAsia="楷体"/>
          <w:sz w:val="24"/>
          <w:szCs w:val="24"/>
        </w:rPr>
      </w:pPr>
      <w:r>
        <w:rPr>
          <w:rFonts w:hint="eastAsia" w:ascii="楷体" w:hAnsi="楷体" w:eastAsia="楷体" w:cs="Calibri"/>
          <w:sz w:val="24"/>
          <w:szCs w:val="24"/>
        </w:rPr>
        <w:t>认购期间：</w:t>
      </w:r>
      <w:r>
        <w:rPr>
          <w:rFonts w:hint="eastAsia" w:ascii="楷体" w:hAnsi="楷体" w:eastAsia="楷体"/>
          <w:sz w:val="24"/>
          <w:szCs w:val="24"/>
          <w:lang w:eastAsia="zh-CN"/>
        </w:rPr>
        <w:t>2022年3月30日9:00至2022年4月6日17:00</w:t>
      </w:r>
      <w:r>
        <w:rPr>
          <w:rFonts w:hint="eastAsia" w:ascii="楷体" w:hAnsi="楷体" w:eastAsia="楷体" w:cs="Calibri"/>
          <w:sz w:val="24"/>
          <w:szCs w:val="24"/>
        </w:rPr>
        <w:t>。</w:t>
      </w:r>
      <w:r>
        <w:rPr>
          <w:rFonts w:hint="eastAsia" w:ascii="楷体" w:hAnsi="楷体" w:eastAsia="楷体"/>
          <w:sz w:val="24"/>
          <w:szCs w:val="24"/>
        </w:rPr>
        <w:t>（以各销售机构设置的认购时间为准）</w:t>
      </w:r>
    </w:p>
    <w:p>
      <w:pPr>
        <w:numPr>
          <w:ilvl w:val="0"/>
          <w:numId w:val="13"/>
        </w:numPr>
        <w:tabs>
          <w:tab w:val="left" w:pos="993"/>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认购方式：本理财产品可在各销售机构指定渠道进行认购。</w:t>
      </w:r>
    </w:p>
    <w:p>
      <w:pPr>
        <w:numPr>
          <w:ilvl w:val="0"/>
          <w:numId w:val="13"/>
        </w:numPr>
        <w:tabs>
          <w:tab w:val="left" w:pos="993"/>
        </w:tabs>
        <w:ind w:left="0" w:firstLine="480" w:firstLineChars="200"/>
        <w:rPr>
          <w:rFonts w:hint="eastAsia" w:ascii="楷体" w:hAnsi="楷体" w:eastAsia="楷体" w:cs="Calibri"/>
          <w:sz w:val="24"/>
          <w:szCs w:val="24"/>
        </w:rPr>
      </w:pPr>
      <w:r>
        <w:rPr>
          <w:rFonts w:hint="eastAsia" w:ascii="楷体" w:hAnsi="楷体" w:eastAsia="楷体" w:cs="Calibri"/>
          <w:sz w:val="24"/>
          <w:szCs w:val="24"/>
          <w:lang w:val="en-US" w:eastAsia="zh-CN"/>
        </w:rPr>
        <w:t>销售机构受理认购申请并不代表该申请成功确认，仅代表其收到了认购申请，申请是否成功以管理人最终确认为准。具体而言，投资者按规定提交认购申请、全额交付款项并经销售机构成功冻结或预扣的，认购申请成立，管理人在认购份额登记日对投资者的认购申请成功登记后，视为投资者的认购申请生效。投资者应在理财产品成立后及时查询最终的成交情况以及认购的份额。</w:t>
      </w:r>
    </w:p>
    <w:p>
      <w:pPr>
        <w:numPr>
          <w:ilvl w:val="0"/>
          <w:numId w:val="13"/>
        </w:numPr>
        <w:tabs>
          <w:tab w:val="left" w:pos="993"/>
        </w:tabs>
        <w:ind w:left="0" w:firstLine="480" w:firstLineChars="200"/>
        <w:rPr>
          <w:rFonts w:hint="eastAsia" w:ascii="楷体" w:hAnsi="楷体" w:eastAsia="楷体" w:cs="Calibri"/>
          <w:sz w:val="24"/>
          <w:szCs w:val="24"/>
        </w:rPr>
      </w:pPr>
      <w:r>
        <w:rPr>
          <w:rFonts w:hint="eastAsia" w:ascii="楷体" w:hAnsi="楷体" w:eastAsia="楷体" w:cs="Calibri"/>
          <w:sz w:val="24"/>
          <w:szCs w:val="24"/>
          <w:highlight w:val="none"/>
        </w:rPr>
        <w:t>单笔认购起点金额</w:t>
      </w: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rPr>
        <w:t>追加金额</w:t>
      </w:r>
      <w:r>
        <w:rPr>
          <w:rFonts w:hint="eastAsia" w:ascii="楷体" w:hAnsi="楷体" w:eastAsia="楷体" w:cs="Calibri"/>
          <w:sz w:val="24"/>
          <w:szCs w:val="24"/>
          <w:highlight w:val="none"/>
          <w:lang w:eastAsia="zh-CN"/>
        </w:rPr>
        <w:t>：</w:t>
      </w:r>
      <w:r>
        <w:rPr>
          <w:rFonts w:hint="eastAsia" w:ascii="楷体" w:hAnsi="楷体" w:eastAsia="楷体" w:cs="Calibri"/>
          <w:sz w:val="24"/>
          <w:szCs w:val="24"/>
        </w:rPr>
        <w:t>本理财产品</w:t>
      </w:r>
      <w:r>
        <w:rPr>
          <w:rFonts w:hint="eastAsia" w:ascii="楷体" w:hAnsi="楷体" w:eastAsia="楷体" w:cs="宋体"/>
          <w:spacing w:val="-2"/>
          <w:sz w:val="24"/>
          <w:szCs w:val="24"/>
        </w:rPr>
        <w:t>A份额</w:t>
      </w:r>
      <w:r>
        <w:rPr>
          <w:rFonts w:hint="eastAsia" w:ascii="楷体" w:hAnsi="楷体" w:eastAsia="楷体"/>
          <w:sz w:val="24"/>
          <w:szCs w:val="24"/>
        </w:rPr>
        <w:t>投资者单笔认购起点金额为</w:t>
      </w:r>
      <w:r>
        <w:rPr>
          <w:rFonts w:ascii="楷体" w:hAnsi="楷体" w:eastAsia="楷体"/>
          <w:sz w:val="24"/>
          <w:szCs w:val="24"/>
        </w:rPr>
        <w:t>1</w:t>
      </w:r>
      <w:r>
        <w:rPr>
          <w:rFonts w:hint="eastAsia" w:ascii="楷体" w:hAnsi="楷体" w:eastAsia="楷体"/>
          <w:sz w:val="24"/>
          <w:szCs w:val="24"/>
        </w:rPr>
        <w:t>元，追加金额为</w:t>
      </w:r>
      <w:r>
        <w:rPr>
          <w:rFonts w:ascii="楷体" w:hAnsi="楷体" w:eastAsia="楷体"/>
          <w:sz w:val="24"/>
          <w:szCs w:val="24"/>
        </w:rPr>
        <w:t>1</w:t>
      </w:r>
      <w:r>
        <w:rPr>
          <w:rFonts w:hint="eastAsia" w:ascii="楷体" w:hAnsi="楷体" w:eastAsia="楷体"/>
          <w:sz w:val="24"/>
          <w:szCs w:val="24"/>
        </w:rPr>
        <w:t>元的整数倍；</w:t>
      </w:r>
      <w:r>
        <w:rPr>
          <w:rFonts w:ascii="楷体" w:hAnsi="楷体" w:eastAsia="楷体" w:cs="宋体"/>
          <w:spacing w:val="-2"/>
          <w:sz w:val="24"/>
          <w:szCs w:val="24"/>
        </w:rPr>
        <w:t>C</w:t>
      </w:r>
      <w:r>
        <w:rPr>
          <w:rFonts w:hint="eastAsia" w:ascii="楷体" w:hAnsi="楷体" w:eastAsia="楷体" w:cs="宋体"/>
          <w:spacing w:val="-2"/>
          <w:sz w:val="24"/>
          <w:szCs w:val="24"/>
        </w:rPr>
        <w:t>份额</w:t>
      </w:r>
      <w:r>
        <w:rPr>
          <w:rFonts w:hint="eastAsia" w:ascii="楷体" w:hAnsi="楷体" w:eastAsia="楷体"/>
          <w:sz w:val="24"/>
          <w:szCs w:val="24"/>
        </w:rPr>
        <w:t>投资者单笔认购起点金额为</w:t>
      </w:r>
      <w:r>
        <w:rPr>
          <w:rFonts w:ascii="楷体" w:hAnsi="楷体" w:eastAsia="楷体"/>
          <w:sz w:val="24"/>
          <w:szCs w:val="24"/>
        </w:rPr>
        <w:t>1</w:t>
      </w:r>
      <w:r>
        <w:rPr>
          <w:rFonts w:hint="eastAsia" w:ascii="楷体" w:hAnsi="楷体" w:eastAsia="楷体"/>
          <w:sz w:val="24"/>
          <w:szCs w:val="24"/>
        </w:rPr>
        <w:t>万元，追加金额为</w:t>
      </w:r>
      <w:r>
        <w:rPr>
          <w:rFonts w:ascii="楷体" w:hAnsi="楷体" w:eastAsia="楷体"/>
          <w:sz w:val="24"/>
          <w:szCs w:val="24"/>
        </w:rPr>
        <w:t>1</w:t>
      </w:r>
      <w:r>
        <w:rPr>
          <w:rFonts w:hint="eastAsia" w:ascii="楷体" w:hAnsi="楷体" w:eastAsia="楷体"/>
          <w:sz w:val="24"/>
          <w:szCs w:val="24"/>
        </w:rPr>
        <w:t>万元的整数倍;</w:t>
      </w:r>
      <w:r>
        <w:rPr>
          <w:rFonts w:ascii="楷体" w:hAnsi="楷体" w:eastAsia="楷体" w:cs="宋体"/>
          <w:spacing w:val="-2"/>
          <w:sz w:val="24"/>
          <w:szCs w:val="24"/>
        </w:rPr>
        <w:t xml:space="preserve"> D</w:t>
      </w:r>
      <w:r>
        <w:rPr>
          <w:rFonts w:hint="eastAsia" w:ascii="楷体" w:hAnsi="楷体" w:eastAsia="楷体" w:cs="宋体"/>
          <w:spacing w:val="-2"/>
          <w:sz w:val="24"/>
          <w:szCs w:val="24"/>
        </w:rPr>
        <w:t>份额</w:t>
      </w:r>
      <w:r>
        <w:rPr>
          <w:rFonts w:hint="eastAsia" w:ascii="楷体" w:hAnsi="楷体" w:eastAsia="楷体" w:cs="宋体"/>
          <w:spacing w:val="-2"/>
          <w:sz w:val="24"/>
          <w:szCs w:val="24"/>
          <w:lang w:val="en-US" w:eastAsia="zh-CN"/>
        </w:rPr>
        <w:t>个人</w:t>
      </w:r>
      <w:r>
        <w:rPr>
          <w:rFonts w:hint="eastAsia" w:ascii="楷体" w:hAnsi="楷体" w:eastAsia="楷体"/>
          <w:sz w:val="24"/>
          <w:szCs w:val="24"/>
        </w:rPr>
        <w:t>投资者单笔认购起点金额为</w:t>
      </w:r>
      <w:r>
        <w:rPr>
          <w:rFonts w:ascii="楷体" w:hAnsi="楷体" w:eastAsia="楷体"/>
          <w:sz w:val="24"/>
          <w:szCs w:val="24"/>
        </w:rPr>
        <w:t>50</w:t>
      </w:r>
      <w:r>
        <w:rPr>
          <w:rFonts w:hint="eastAsia" w:ascii="楷体" w:hAnsi="楷体" w:eastAsia="楷体"/>
          <w:sz w:val="24"/>
          <w:szCs w:val="24"/>
        </w:rPr>
        <w:t>万元，追加金额为</w:t>
      </w:r>
      <w:r>
        <w:rPr>
          <w:rFonts w:ascii="楷体" w:hAnsi="楷体" w:eastAsia="楷体"/>
          <w:sz w:val="24"/>
          <w:szCs w:val="24"/>
        </w:rPr>
        <w:t>1</w:t>
      </w:r>
      <w:r>
        <w:rPr>
          <w:rFonts w:hint="eastAsia" w:ascii="楷体" w:hAnsi="楷体" w:eastAsia="楷体"/>
          <w:sz w:val="24"/>
          <w:szCs w:val="24"/>
        </w:rPr>
        <w:t>万元的整数倍</w:t>
      </w:r>
      <w:r>
        <w:rPr>
          <w:rFonts w:hint="eastAsia" w:ascii="楷体" w:hAnsi="楷体" w:eastAsia="楷体"/>
          <w:sz w:val="24"/>
          <w:szCs w:val="24"/>
          <w:lang w:eastAsia="zh-CN"/>
        </w:rPr>
        <w:t>，</w:t>
      </w:r>
      <w:r>
        <w:rPr>
          <w:rFonts w:hint="eastAsia" w:ascii="楷体" w:hAnsi="楷体" w:eastAsia="楷体"/>
          <w:sz w:val="24"/>
          <w:szCs w:val="24"/>
          <w:lang w:val="en-US" w:eastAsia="zh-CN"/>
        </w:rPr>
        <w:t>机构</w:t>
      </w:r>
      <w:r>
        <w:rPr>
          <w:rFonts w:hint="eastAsia" w:ascii="楷体" w:hAnsi="楷体" w:eastAsia="楷体"/>
          <w:sz w:val="24"/>
          <w:szCs w:val="24"/>
        </w:rPr>
        <w:t>投资者单笔认购起点金额为</w:t>
      </w:r>
      <w:r>
        <w:rPr>
          <w:rFonts w:ascii="楷体" w:hAnsi="楷体" w:eastAsia="楷体"/>
          <w:sz w:val="24"/>
          <w:szCs w:val="24"/>
        </w:rPr>
        <w:t>50</w:t>
      </w:r>
      <w:r>
        <w:rPr>
          <w:rFonts w:hint="eastAsia" w:ascii="楷体" w:hAnsi="楷体" w:eastAsia="楷体"/>
          <w:sz w:val="24"/>
          <w:szCs w:val="24"/>
          <w:lang w:val="en-US" w:eastAsia="zh-CN"/>
        </w:rPr>
        <w:t>00</w:t>
      </w:r>
      <w:r>
        <w:rPr>
          <w:rFonts w:hint="eastAsia" w:ascii="楷体" w:hAnsi="楷体" w:eastAsia="楷体"/>
          <w:sz w:val="24"/>
          <w:szCs w:val="24"/>
        </w:rPr>
        <w:t>万元，追加金额为</w:t>
      </w:r>
      <w:r>
        <w:rPr>
          <w:rFonts w:ascii="楷体" w:hAnsi="楷体" w:eastAsia="楷体"/>
          <w:sz w:val="24"/>
          <w:szCs w:val="24"/>
        </w:rPr>
        <w:t>1</w:t>
      </w:r>
      <w:r>
        <w:rPr>
          <w:rFonts w:hint="eastAsia" w:ascii="楷体" w:hAnsi="楷体" w:eastAsia="楷体"/>
          <w:sz w:val="24"/>
          <w:szCs w:val="24"/>
        </w:rPr>
        <w:t>万元的整数倍；</w:t>
      </w:r>
      <w:r>
        <w:rPr>
          <w:rFonts w:hint="eastAsia" w:ascii="楷体" w:hAnsi="楷体" w:eastAsia="楷体"/>
          <w:sz w:val="24"/>
          <w:szCs w:val="24"/>
          <w:lang w:val="en-US" w:eastAsia="zh-CN"/>
        </w:rPr>
        <w:t>E</w:t>
      </w:r>
      <w:r>
        <w:rPr>
          <w:rFonts w:hint="eastAsia" w:ascii="楷体" w:hAnsi="楷体" w:eastAsia="楷体" w:cs="宋体"/>
          <w:spacing w:val="-2"/>
          <w:sz w:val="24"/>
          <w:szCs w:val="24"/>
        </w:rPr>
        <w:t>份额</w:t>
      </w:r>
      <w:r>
        <w:rPr>
          <w:rFonts w:hint="eastAsia" w:ascii="楷体" w:hAnsi="楷体" w:eastAsia="楷体"/>
          <w:sz w:val="24"/>
          <w:szCs w:val="24"/>
        </w:rPr>
        <w:t>投资者单笔认购起点金额为</w:t>
      </w:r>
      <w:r>
        <w:rPr>
          <w:rFonts w:hint="eastAsia" w:ascii="楷体" w:hAnsi="楷体" w:eastAsia="楷体"/>
          <w:sz w:val="24"/>
          <w:szCs w:val="24"/>
          <w:lang w:val="en-US" w:eastAsia="zh-CN"/>
        </w:rPr>
        <w:t>100</w:t>
      </w:r>
      <w:r>
        <w:rPr>
          <w:rFonts w:hint="eastAsia" w:ascii="楷体" w:hAnsi="楷体" w:eastAsia="楷体"/>
          <w:sz w:val="24"/>
          <w:szCs w:val="24"/>
        </w:rPr>
        <w:t>万元，追加金额为</w:t>
      </w:r>
      <w:r>
        <w:rPr>
          <w:rFonts w:ascii="楷体" w:hAnsi="楷体" w:eastAsia="楷体"/>
          <w:sz w:val="24"/>
          <w:szCs w:val="24"/>
        </w:rPr>
        <w:t>1</w:t>
      </w:r>
      <w:r>
        <w:rPr>
          <w:rFonts w:hint="eastAsia" w:ascii="楷体" w:hAnsi="楷体" w:eastAsia="楷体"/>
          <w:sz w:val="24"/>
          <w:szCs w:val="24"/>
        </w:rPr>
        <w:t>万元的整数倍</w:t>
      </w:r>
      <w:r>
        <w:rPr>
          <w:rFonts w:hint="eastAsia" w:ascii="楷体" w:hAnsi="楷体" w:eastAsia="楷体"/>
          <w:sz w:val="24"/>
          <w:szCs w:val="24"/>
          <w:lang w:eastAsia="zh-CN"/>
        </w:rPr>
        <w:t>；</w:t>
      </w:r>
      <w:r>
        <w:rPr>
          <w:rFonts w:hint="eastAsia" w:ascii="楷体" w:hAnsi="楷体" w:eastAsia="楷体" w:cs="Calibri"/>
          <w:sz w:val="24"/>
          <w:szCs w:val="24"/>
          <w:lang w:val="en-US" w:eastAsia="zh-CN"/>
        </w:rPr>
        <w:t>F</w:t>
      </w:r>
      <w:r>
        <w:rPr>
          <w:rFonts w:hint="eastAsia" w:ascii="楷体" w:hAnsi="楷体" w:eastAsia="楷体" w:cs="宋体"/>
          <w:spacing w:val="-2"/>
          <w:sz w:val="24"/>
          <w:szCs w:val="24"/>
        </w:rPr>
        <w:t>份额</w:t>
      </w:r>
      <w:r>
        <w:rPr>
          <w:rFonts w:hint="eastAsia" w:ascii="楷体" w:hAnsi="楷体" w:eastAsia="楷体" w:cs="Calibri"/>
          <w:sz w:val="24"/>
          <w:szCs w:val="24"/>
        </w:rPr>
        <w:t>投资者单笔认购起点金额为</w:t>
      </w:r>
      <w:r>
        <w:rPr>
          <w:rFonts w:ascii="楷体" w:hAnsi="楷体" w:eastAsia="楷体" w:cs="Calibri"/>
          <w:sz w:val="24"/>
          <w:szCs w:val="24"/>
        </w:rPr>
        <w:t>1</w:t>
      </w:r>
      <w:r>
        <w:rPr>
          <w:rFonts w:hint="eastAsia" w:ascii="楷体" w:hAnsi="楷体" w:eastAsia="楷体" w:cs="Calibri"/>
          <w:sz w:val="24"/>
          <w:szCs w:val="24"/>
        </w:rPr>
        <w:t>元，追加金额为</w:t>
      </w:r>
      <w:r>
        <w:rPr>
          <w:rFonts w:ascii="楷体" w:hAnsi="楷体" w:eastAsia="楷体" w:cs="Calibri"/>
          <w:sz w:val="24"/>
          <w:szCs w:val="24"/>
        </w:rPr>
        <w:t>1</w:t>
      </w:r>
      <w:r>
        <w:rPr>
          <w:rFonts w:hint="eastAsia" w:ascii="楷体" w:hAnsi="楷体" w:eastAsia="楷体" w:cs="Calibri"/>
          <w:sz w:val="24"/>
          <w:szCs w:val="24"/>
        </w:rPr>
        <w:t>元的整数倍</w:t>
      </w:r>
      <w:r>
        <w:rPr>
          <w:rFonts w:hint="eastAsia" w:ascii="楷体" w:hAnsi="楷体" w:eastAsia="楷体"/>
          <w:sz w:val="24"/>
          <w:szCs w:val="24"/>
          <w:lang w:eastAsia="zh-CN"/>
        </w:rPr>
        <w:t>；</w:t>
      </w:r>
      <w:r>
        <w:rPr>
          <w:rFonts w:hint="eastAsia" w:ascii="楷体" w:hAnsi="楷体" w:eastAsia="楷体"/>
          <w:sz w:val="24"/>
          <w:szCs w:val="24"/>
          <w:lang w:val="en-US" w:eastAsia="zh-CN"/>
        </w:rPr>
        <w:t>W</w:t>
      </w:r>
      <w:r>
        <w:rPr>
          <w:rFonts w:hint="eastAsia" w:ascii="楷体" w:hAnsi="楷体" w:eastAsia="楷体" w:cs="宋体"/>
          <w:spacing w:val="-2"/>
          <w:sz w:val="24"/>
          <w:szCs w:val="24"/>
        </w:rPr>
        <w:t>份额</w:t>
      </w:r>
      <w:r>
        <w:rPr>
          <w:rFonts w:hint="eastAsia" w:ascii="楷体" w:hAnsi="楷体" w:eastAsia="楷体" w:cs="Calibri"/>
          <w:sz w:val="24"/>
          <w:szCs w:val="24"/>
        </w:rPr>
        <w:t>投资者单笔认购起点金额为</w:t>
      </w:r>
      <w:r>
        <w:rPr>
          <w:rFonts w:ascii="楷体" w:hAnsi="楷体" w:eastAsia="楷体" w:cs="Calibri"/>
          <w:sz w:val="24"/>
          <w:szCs w:val="24"/>
        </w:rPr>
        <w:t>1</w:t>
      </w:r>
      <w:r>
        <w:rPr>
          <w:rFonts w:hint="eastAsia" w:ascii="楷体" w:hAnsi="楷体" w:eastAsia="楷体" w:cs="Calibri"/>
          <w:sz w:val="24"/>
          <w:szCs w:val="24"/>
        </w:rPr>
        <w:t>元，追加金额为</w:t>
      </w:r>
      <w:r>
        <w:rPr>
          <w:rFonts w:ascii="楷体" w:hAnsi="楷体" w:eastAsia="楷体" w:cs="Calibri"/>
          <w:sz w:val="24"/>
          <w:szCs w:val="24"/>
        </w:rPr>
        <w:t>1</w:t>
      </w:r>
      <w:r>
        <w:rPr>
          <w:rFonts w:hint="eastAsia" w:ascii="楷体" w:hAnsi="楷体" w:eastAsia="楷体" w:cs="Calibri"/>
          <w:sz w:val="24"/>
          <w:szCs w:val="24"/>
        </w:rPr>
        <w:t>元的整数倍</w:t>
      </w:r>
      <w:r>
        <w:rPr>
          <w:rFonts w:hint="eastAsia" w:ascii="楷体" w:hAnsi="楷体" w:eastAsia="楷体" w:cs="Calibri"/>
          <w:sz w:val="24"/>
          <w:szCs w:val="24"/>
          <w:lang w:eastAsia="zh-CN"/>
        </w:rPr>
        <w:t>；</w:t>
      </w:r>
      <w:r>
        <w:rPr>
          <w:rFonts w:hint="eastAsia" w:ascii="楷体" w:hAnsi="楷体" w:eastAsia="楷体" w:cs="Calibri"/>
          <w:sz w:val="24"/>
          <w:szCs w:val="24"/>
          <w:lang w:val="en-US" w:eastAsia="zh-CN"/>
        </w:rPr>
        <w:t>S</w:t>
      </w:r>
      <w:r>
        <w:rPr>
          <w:rFonts w:hint="eastAsia" w:ascii="楷体" w:hAnsi="楷体" w:eastAsia="楷体" w:cs="宋体"/>
          <w:spacing w:val="-2"/>
          <w:sz w:val="24"/>
          <w:szCs w:val="24"/>
        </w:rPr>
        <w:t>份额</w:t>
      </w:r>
      <w:r>
        <w:rPr>
          <w:rFonts w:hint="eastAsia" w:ascii="楷体" w:hAnsi="楷体" w:eastAsia="楷体" w:cs="Calibri"/>
          <w:sz w:val="24"/>
          <w:szCs w:val="24"/>
        </w:rPr>
        <w:t>投资者单笔认购起点金额为</w:t>
      </w:r>
      <w:r>
        <w:rPr>
          <w:rFonts w:ascii="楷体" w:hAnsi="楷体" w:eastAsia="楷体" w:cs="Calibri"/>
          <w:sz w:val="24"/>
          <w:szCs w:val="24"/>
        </w:rPr>
        <w:t>1</w:t>
      </w:r>
      <w:r>
        <w:rPr>
          <w:rFonts w:hint="eastAsia" w:ascii="楷体" w:hAnsi="楷体" w:eastAsia="楷体" w:cs="Calibri"/>
          <w:sz w:val="24"/>
          <w:szCs w:val="24"/>
        </w:rPr>
        <w:t>元，追加金额为</w:t>
      </w:r>
      <w:r>
        <w:rPr>
          <w:rFonts w:ascii="楷体" w:hAnsi="楷体" w:eastAsia="楷体" w:cs="Calibri"/>
          <w:sz w:val="24"/>
          <w:szCs w:val="24"/>
        </w:rPr>
        <w:t>1</w:t>
      </w:r>
      <w:r>
        <w:rPr>
          <w:rFonts w:hint="eastAsia" w:ascii="楷体" w:hAnsi="楷体" w:eastAsia="楷体" w:cs="Calibri"/>
          <w:sz w:val="24"/>
          <w:szCs w:val="24"/>
        </w:rPr>
        <w:t>元的整数倍。</w:t>
      </w:r>
      <w:r>
        <w:rPr>
          <w:rFonts w:hint="eastAsia" w:ascii="楷体" w:hAnsi="楷体" w:eastAsia="楷体"/>
          <w:sz w:val="24"/>
          <w:szCs w:val="24"/>
        </w:rPr>
        <w:t>（以各销售机构设置为准）</w:t>
      </w:r>
    </w:p>
    <w:p>
      <w:pPr>
        <w:numPr>
          <w:ilvl w:val="0"/>
          <w:numId w:val="13"/>
        </w:numPr>
        <w:tabs>
          <w:tab w:val="left" w:pos="993"/>
        </w:tabs>
        <w:ind w:left="0" w:firstLine="480" w:firstLineChars="200"/>
        <w:rPr>
          <w:rFonts w:hint="eastAsia" w:ascii="楷体" w:hAnsi="楷体" w:eastAsia="楷体" w:cs="Calibri"/>
          <w:sz w:val="24"/>
          <w:szCs w:val="24"/>
        </w:rPr>
      </w:pPr>
      <w:r>
        <w:rPr>
          <w:rFonts w:hint="eastAsia" w:ascii="楷体" w:hAnsi="楷体" w:eastAsia="楷体" w:cs="Calibri"/>
          <w:sz w:val="24"/>
          <w:szCs w:val="24"/>
          <w:highlight w:val="none"/>
        </w:rPr>
        <w:t>认购申请撤销时间：</w:t>
      </w:r>
      <w:r>
        <w:rPr>
          <w:rFonts w:hint="eastAsia" w:ascii="楷体" w:hAnsi="楷体" w:eastAsia="楷体" w:cs="Calibri"/>
          <w:sz w:val="24"/>
          <w:szCs w:val="24"/>
        </w:rPr>
        <w:t>认购期间，投资者可于</w:t>
      </w:r>
      <w:r>
        <w:rPr>
          <w:rFonts w:hint="eastAsia" w:ascii="楷体" w:hAnsi="楷体" w:eastAsia="楷体"/>
          <w:sz w:val="24"/>
          <w:szCs w:val="24"/>
          <w:lang w:eastAsia="zh-CN"/>
        </w:rPr>
        <w:t>2022年4月6日</w:t>
      </w:r>
      <w:r>
        <w:rPr>
          <w:rFonts w:hint="eastAsia" w:ascii="楷体" w:hAnsi="楷体" w:eastAsia="楷体"/>
          <w:sz w:val="24"/>
          <w:szCs w:val="24"/>
        </w:rPr>
        <w:t>17:00</w:t>
      </w:r>
      <w:r>
        <w:rPr>
          <w:rFonts w:hint="eastAsia" w:ascii="楷体" w:hAnsi="楷体" w:eastAsia="楷体" w:cs="Calibri"/>
          <w:sz w:val="24"/>
          <w:szCs w:val="24"/>
        </w:rPr>
        <w:t>前撤销认购申请，该时点后不得撤销。（以各销售机构设置的撤销截止时间为准）</w:t>
      </w:r>
    </w:p>
    <w:p>
      <w:pPr>
        <w:numPr>
          <w:ilvl w:val="0"/>
          <w:numId w:val="13"/>
        </w:numPr>
        <w:tabs>
          <w:tab w:val="left" w:pos="993"/>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认购资金的清算</w:t>
      </w:r>
    </w:p>
    <w:p>
      <w:pPr>
        <w:ind w:firstLine="480" w:firstLineChars="200"/>
        <w:rPr>
          <w:rFonts w:hint="eastAsia" w:ascii="楷体" w:hAnsi="楷体" w:eastAsia="楷体"/>
          <w:sz w:val="24"/>
          <w:szCs w:val="24"/>
        </w:rPr>
      </w:pPr>
      <w:r>
        <w:rPr>
          <w:rFonts w:hint="eastAsia" w:ascii="楷体" w:hAnsi="楷体" w:eastAsia="楷体"/>
          <w:sz w:val="24"/>
          <w:szCs w:val="24"/>
          <w:highlight w:val="none"/>
        </w:rPr>
        <w:t>投资者提出认购申请时，须备足购买资金。如投资者通过代销渠道购买，管理人在份额确认日通知销售机构扣划投资者认购资金，投资者应在扣款前保证资金账户中拥有足够可用余额</w:t>
      </w:r>
      <w:r>
        <w:rPr>
          <w:rFonts w:hint="eastAsia" w:ascii="楷体" w:hAnsi="楷体" w:eastAsia="楷体"/>
          <w:sz w:val="24"/>
          <w:szCs w:val="24"/>
          <w:highlight w:val="none"/>
          <w:lang w:eastAsia="zh-CN"/>
        </w:rPr>
        <w:t>；</w:t>
      </w:r>
      <w:r>
        <w:rPr>
          <w:rFonts w:hint="eastAsia" w:ascii="楷体" w:hAnsi="楷体" w:eastAsia="楷体"/>
          <w:sz w:val="24"/>
          <w:szCs w:val="24"/>
          <w:highlight w:val="none"/>
        </w:rPr>
        <w:t>如投资者通过苏银</w:t>
      </w:r>
      <w:r>
        <w:rPr>
          <w:rFonts w:hint="eastAsia" w:ascii="楷体" w:hAnsi="楷体" w:eastAsia="楷体"/>
          <w:sz w:val="24"/>
          <w:szCs w:val="24"/>
          <w:highlight w:val="none"/>
          <w:lang w:val="en-US" w:eastAsia="zh-CN"/>
        </w:rPr>
        <w:t>理财</w:t>
      </w:r>
      <w:r>
        <w:rPr>
          <w:rFonts w:hint="eastAsia" w:ascii="楷体" w:hAnsi="楷体" w:eastAsia="楷体"/>
          <w:sz w:val="24"/>
          <w:szCs w:val="24"/>
          <w:highlight w:val="none"/>
        </w:rPr>
        <w:t>直营</w:t>
      </w:r>
      <w:r>
        <w:rPr>
          <w:rFonts w:hint="eastAsia" w:ascii="楷体" w:hAnsi="楷体" w:eastAsia="楷体"/>
          <w:sz w:val="24"/>
          <w:szCs w:val="24"/>
          <w:highlight w:val="none"/>
          <w:lang w:val="en-US" w:eastAsia="zh-CN"/>
        </w:rPr>
        <w:t>渠道</w:t>
      </w:r>
      <w:r>
        <w:rPr>
          <w:rFonts w:hint="eastAsia" w:ascii="楷体" w:hAnsi="楷体" w:eastAsia="楷体"/>
          <w:sz w:val="24"/>
          <w:szCs w:val="24"/>
          <w:highlight w:val="none"/>
        </w:rPr>
        <w:t>购买</w:t>
      </w:r>
      <w:r>
        <w:rPr>
          <w:rFonts w:hint="eastAsia" w:ascii="楷体" w:hAnsi="楷体" w:eastAsia="楷体"/>
          <w:sz w:val="24"/>
          <w:szCs w:val="24"/>
          <w:highlight w:val="none"/>
          <w:lang w:eastAsia="zh-CN"/>
        </w:rPr>
        <w:t>，</w:t>
      </w:r>
      <w:r>
        <w:rPr>
          <w:rFonts w:hint="eastAsia" w:ascii="楷体" w:hAnsi="楷体" w:eastAsia="楷体"/>
          <w:sz w:val="24"/>
          <w:szCs w:val="24"/>
          <w:highlight w:val="none"/>
        </w:rPr>
        <w:t>资金清算以《理财产品销售协议书》约定为准。因投资者资金账户余额不足、司法冻结、不可抗力因素或其他不可归责于苏银理财和销售机构的事由出现，造成扣款失败，认购申请未被确认的，苏银理财和销售机构不承担任何责任。</w:t>
      </w:r>
    </w:p>
    <w:p>
      <w:pPr>
        <w:numPr>
          <w:ilvl w:val="0"/>
          <w:numId w:val="13"/>
        </w:numPr>
        <w:tabs>
          <w:tab w:val="left" w:pos="993"/>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认购份额登记日：本理财产品于</w:t>
      </w:r>
      <w:r>
        <w:rPr>
          <w:rFonts w:hint="eastAsia" w:ascii="楷体" w:hAnsi="楷体" w:eastAsia="楷体"/>
          <w:sz w:val="24"/>
          <w:szCs w:val="24"/>
          <w:lang w:eastAsia="zh-CN"/>
        </w:rPr>
        <w:t>2022年4月7日</w:t>
      </w:r>
      <w:r>
        <w:rPr>
          <w:rFonts w:hint="eastAsia" w:ascii="楷体" w:hAnsi="楷体" w:eastAsia="楷体" w:cs="Calibri"/>
          <w:sz w:val="24"/>
          <w:szCs w:val="24"/>
        </w:rPr>
        <w:t>进行份额登记</w:t>
      </w:r>
      <w:r>
        <w:rPr>
          <w:rFonts w:hint="eastAsia" w:ascii="楷体" w:hAnsi="楷体" w:eastAsia="楷体" w:cs="Calibri"/>
          <w:sz w:val="24"/>
          <w:szCs w:val="24"/>
          <w:lang w:val="en-US" w:eastAsia="zh-CN"/>
        </w:rPr>
        <w:t>。</w:t>
      </w:r>
    </w:p>
    <w:p>
      <w:pPr>
        <w:numPr>
          <w:ilvl w:val="0"/>
          <w:numId w:val="13"/>
        </w:numPr>
        <w:tabs>
          <w:tab w:val="left" w:pos="993"/>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认购份额的计算</w:t>
      </w:r>
    </w:p>
    <w:p>
      <w:pPr>
        <w:ind w:firstLine="480" w:firstLineChars="200"/>
        <w:rPr>
          <w:rFonts w:hint="eastAsia" w:ascii="楷体" w:hAnsi="楷体" w:eastAsia="楷体"/>
          <w:sz w:val="24"/>
          <w:szCs w:val="24"/>
        </w:rPr>
      </w:pPr>
      <w:r>
        <w:rPr>
          <w:rFonts w:ascii="楷体" w:hAnsi="楷体" w:eastAsia="楷体"/>
          <w:sz w:val="24"/>
          <w:szCs w:val="24"/>
        </w:rPr>
        <w:t>认购份额=</w:t>
      </w:r>
      <w:r>
        <w:rPr>
          <w:rFonts w:hint="eastAsia" w:ascii="楷体" w:hAnsi="楷体" w:eastAsia="楷体"/>
          <w:sz w:val="24"/>
          <w:szCs w:val="24"/>
        </w:rPr>
        <w:t>认购金额</w:t>
      </w:r>
      <w:r>
        <w:rPr>
          <w:rFonts w:ascii="楷体" w:hAnsi="楷体" w:eastAsia="楷体"/>
          <w:sz w:val="24"/>
          <w:szCs w:val="24"/>
        </w:rPr>
        <w:t>/</w:t>
      </w:r>
      <w:r>
        <w:rPr>
          <w:rFonts w:hint="eastAsia" w:ascii="楷体" w:hAnsi="楷体" w:eastAsia="楷体"/>
          <w:sz w:val="24"/>
          <w:szCs w:val="24"/>
        </w:rPr>
        <w:t>产品成立时单位净值</w:t>
      </w:r>
    </w:p>
    <w:p>
      <w:pPr>
        <w:ind w:firstLine="480" w:firstLineChars="200"/>
        <w:rPr>
          <w:rFonts w:hint="eastAsia" w:ascii="楷体" w:hAnsi="楷体" w:eastAsia="楷体"/>
          <w:sz w:val="24"/>
          <w:szCs w:val="24"/>
        </w:rPr>
      </w:pPr>
      <w:r>
        <w:rPr>
          <w:rFonts w:hint="eastAsia" w:ascii="楷体" w:hAnsi="楷体" w:eastAsia="楷体"/>
          <w:sz w:val="24"/>
          <w:szCs w:val="24"/>
        </w:rPr>
        <w:t>产品成立时单位净值为1元/份，</w:t>
      </w:r>
      <w:r>
        <w:rPr>
          <w:rFonts w:ascii="楷体" w:hAnsi="楷体" w:eastAsia="楷体"/>
          <w:sz w:val="24"/>
          <w:szCs w:val="24"/>
        </w:rPr>
        <w:t>认购份额</w:t>
      </w:r>
      <w:r>
        <w:rPr>
          <w:rFonts w:hint="eastAsia" w:ascii="楷体" w:hAnsi="楷体" w:eastAsia="楷体"/>
          <w:sz w:val="24"/>
          <w:szCs w:val="24"/>
        </w:rPr>
        <w:t>以四舍五入的方法保留到小数点后两位。</w:t>
      </w:r>
    </w:p>
    <w:p>
      <w:pPr>
        <w:numPr>
          <w:ilvl w:val="0"/>
          <w:numId w:val="3"/>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产品申购、赎回</w:t>
      </w:r>
    </w:p>
    <w:p>
      <w:pPr>
        <w:numPr>
          <w:ilvl w:val="0"/>
          <w:numId w:val="14"/>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投资周期、开放计划</w:t>
      </w:r>
    </w:p>
    <w:p>
      <w:pPr>
        <w:ind w:firstLine="480" w:firstLineChars="200"/>
        <w:rPr>
          <w:rFonts w:hint="eastAsia" w:ascii="楷体" w:hAnsi="楷体" w:eastAsia="楷体"/>
          <w:sz w:val="24"/>
          <w:szCs w:val="24"/>
        </w:rPr>
      </w:pPr>
      <w:r>
        <w:rPr>
          <w:rFonts w:hint="eastAsia" w:ascii="楷体" w:hAnsi="楷体" w:eastAsia="楷体"/>
          <w:sz w:val="24"/>
          <w:szCs w:val="24"/>
        </w:rPr>
        <w:t>本产品成立日为</w:t>
      </w:r>
      <w:r>
        <w:rPr>
          <w:rFonts w:hint="eastAsia" w:ascii="楷体" w:hAnsi="楷体" w:eastAsia="楷体"/>
          <w:sz w:val="24"/>
          <w:szCs w:val="24"/>
          <w:lang w:eastAsia="zh-CN"/>
        </w:rPr>
        <w:t>2022年4月7日</w:t>
      </w:r>
      <w:r>
        <w:rPr>
          <w:rFonts w:hint="eastAsia" w:ascii="楷体" w:hAnsi="楷体" w:eastAsia="楷体"/>
          <w:sz w:val="24"/>
          <w:szCs w:val="24"/>
        </w:rPr>
        <w:t>，从成立日起，每</w:t>
      </w:r>
      <w:r>
        <w:rPr>
          <w:rFonts w:ascii="楷体" w:hAnsi="楷体" w:eastAsia="楷体"/>
          <w:sz w:val="24"/>
          <w:szCs w:val="24"/>
        </w:rPr>
        <w:t>3</w:t>
      </w:r>
      <w:r>
        <w:rPr>
          <w:rFonts w:hint="eastAsia" w:ascii="楷体" w:hAnsi="楷体" w:eastAsia="楷体"/>
          <w:sz w:val="24"/>
          <w:szCs w:val="24"/>
        </w:rPr>
        <w:t>个月为一个投资周期。第一个投资周期起始日为产品成立日，终止日为</w:t>
      </w:r>
      <w:r>
        <w:rPr>
          <w:rFonts w:hint="eastAsia" w:ascii="楷体" w:hAnsi="楷体" w:eastAsia="楷体"/>
          <w:sz w:val="24"/>
          <w:szCs w:val="24"/>
          <w:lang w:eastAsia="zh-CN"/>
        </w:rPr>
        <w:t>2022年7月20日</w:t>
      </w:r>
      <w:r>
        <w:rPr>
          <w:rFonts w:hint="eastAsia" w:ascii="楷体" w:hAnsi="楷体" w:eastAsia="楷体"/>
          <w:sz w:val="24"/>
          <w:szCs w:val="24"/>
        </w:rPr>
        <w:t>。对于第二个投资周期以及后续投资周期，每个投资周期起始日为上一投资周期终止日次日，终止日为其起始日后</w:t>
      </w:r>
      <w:r>
        <w:rPr>
          <w:rFonts w:ascii="楷体" w:hAnsi="楷体" w:eastAsia="楷体"/>
          <w:sz w:val="24"/>
          <w:szCs w:val="24"/>
        </w:rPr>
        <w:t>3</w:t>
      </w:r>
      <w:r>
        <w:rPr>
          <w:rFonts w:hint="eastAsia" w:ascii="楷体" w:hAnsi="楷体" w:eastAsia="楷体"/>
          <w:sz w:val="24"/>
          <w:szCs w:val="24"/>
        </w:rPr>
        <w:t>个月，具体日期以管理人公告为准。</w:t>
      </w:r>
    </w:p>
    <w:p>
      <w:pPr>
        <w:ind w:firstLine="480" w:firstLineChars="200"/>
        <w:rPr>
          <w:rFonts w:hint="eastAsia" w:ascii="楷体" w:hAnsi="楷体" w:eastAsia="楷体"/>
          <w:sz w:val="24"/>
          <w:szCs w:val="24"/>
        </w:rPr>
      </w:pPr>
      <w:r>
        <w:rPr>
          <w:rFonts w:hint="eastAsia" w:ascii="楷体" w:hAnsi="楷体" w:eastAsia="楷体"/>
          <w:sz w:val="24"/>
          <w:szCs w:val="24"/>
        </w:rPr>
        <w:t>本产品在每个投资周期结束前设置开放计划，时间为投资周期终止日前7</w:t>
      </w:r>
      <w:r>
        <w:rPr>
          <w:rFonts w:hint="eastAsia" w:ascii="楷体" w:hAnsi="楷体" w:eastAsia="楷体"/>
          <w:sz w:val="24"/>
          <w:szCs w:val="24"/>
          <w:lang w:val="en-US" w:eastAsia="zh-CN"/>
        </w:rPr>
        <w:t>个工作</w:t>
      </w:r>
      <w:r>
        <w:rPr>
          <w:rFonts w:hint="eastAsia" w:ascii="楷体" w:hAnsi="楷体" w:eastAsia="楷体"/>
          <w:sz w:val="24"/>
          <w:szCs w:val="24"/>
        </w:rPr>
        <w:t>日（含投资周期终止日），开放计划最后一日（即投资周期终止日）为开放日。投资者可在开放计划时间内通过销售机构提出申购/赎回申请，</w:t>
      </w:r>
      <w:r>
        <w:rPr>
          <w:rFonts w:hint="eastAsia" w:ascii="楷体" w:hAnsi="楷体" w:eastAsia="楷体"/>
          <w:b/>
          <w:sz w:val="24"/>
          <w:szCs w:val="24"/>
          <w:u w:val="single"/>
        </w:rPr>
        <w:t>除开放计划外的其他时间，管理人不接受投资者申购、赎回申请。</w:t>
      </w:r>
      <w:r>
        <w:rPr>
          <w:rFonts w:hint="eastAsia" w:ascii="楷体" w:hAnsi="楷体" w:eastAsia="楷体"/>
          <w:sz w:val="24"/>
          <w:szCs w:val="24"/>
        </w:rPr>
        <w:t>（以各销售机构设置的开放时间为准）</w:t>
      </w:r>
    </w:p>
    <w:p>
      <w:pPr>
        <w:numPr>
          <w:ilvl w:val="0"/>
          <w:numId w:val="14"/>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申购、赎回的规则</w:t>
      </w:r>
    </w:p>
    <w:p>
      <w:pPr>
        <w:numPr>
          <w:ilvl w:val="0"/>
          <w:numId w:val="15"/>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申购、赎回的原则：本产品采用金额申购、份额赎回的原则，即申购以金额申请，赎回以份额申请。</w:t>
      </w:r>
    </w:p>
    <w:p>
      <w:pPr>
        <w:numPr>
          <w:ilvl w:val="0"/>
          <w:numId w:val="15"/>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申购、赎回的时间：投资者可在开放计划约定的时间内提交申购/赎回申请</w:t>
      </w:r>
      <w:r>
        <w:rPr>
          <w:rFonts w:hint="eastAsia" w:ascii="楷体" w:hAnsi="楷体" w:eastAsia="楷体"/>
          <w:sz w:val="24"/>
          <w:szCs w:val="24"/>
        </w:rPr>
        <w:t>（以各销售机构设置的开放时间为准）</w:t>
      </w:r>
      <w:r>
        <w:rPr>
          <w:rFonts w:hint="eastAsia" w:ascii="楷体" w:hAnsi="楷体" w:eastAsia="楷体" w:cs="Calibri"/>
          <w:sz w:val="24"/>
          <w:szCs w:val="24"/>
        </w:rPr>
        <w:t>。本产品首个投资周期及开放计划详见下表，后续投资周期及开放计划受资产运作情况、节假日安排等要素限制，管理人将在每个投资周期结束前通过本理财产品说明书约定的方式披露下一周期开放计划。</w:t>
      </w:r>
    </w:p>
    <w:tbl>
      <w:tblPr>
        <w:tblStyle w:val="14"/>
        <w:tblW w:w="86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871"/>
        <w:gridCol w:w="1871"/>
        <w:gridCol w:w="2381"/>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ascii="楷体" w:hAnsi="楷体" w:eastAsia="楷体"/>
                <w:szCs w:val="21"/>
                <w:highlight w:val="none"/>
              </w:rPr>
            </w:pPr>
            <w:r>
              <w:rPr>
                <w:rFonts w:hint="eastAsia" w:ascii="楷体" w:hAnsi="楷体" w:eastAsia="楷体"/>
                <w:szCs w:val="21"/>
                <w:highlight w:val="none"/>
              </w:rPr>
              <w:t>投资周期</w:t>
            </w:r>
          </w:p>
        </w:tc>
        <w:tc>
          <w:tcPr>
            <w:tcW w:w="1871" w:type="dxa"/>
            <w:noWrap w:val="0"/>
            <w:vAlign w:val="center"/>
          </w:tcPr>
          <w:p>
            <w:pPr>
              <w:jc w:val="center"/>
              <w:rPr>
                <w:rFonts w:ascii="楷体" w:hAnsi="楷体" w:eastAsia="楷体"/>
                <w:szCs w:val="21"/>
                <w:highlight w:val="none"/>
              </w:rPr>
            </w:pPr>
            <w:r>
              <w:rPr>
                <w:rFonts w:hint="eastAsia" w:ascii="楷体" w:hAnsi="楷体" w:eastAsia="楷体"/>
                <w:szCs w:val="21"/>
                <w:highlight w:val="none"/>
              </w:rPr>
              <w:t>投资周期起始日</w:t>
            </w:r>
          </w:p>
        </w:tc>
        <w:tc>
          <w:tcPr>
            <w:tcW w:w="1871" w:type="dxa"/>
            <w:noWrap w:val="0"/>
            <w:vAlign w:val="center"/>
          </w:tcPr>
          <w:p>
            <w:pPr>
              <w:jc w:val="center"/>
              <w:rPr>
                <w:rFonts w:ascii="楷体" w:hAnsi="楷体" w:eastAsia="楷体"/>
                <w:szCs w:val="21"/>
                <w:highlight w:val="none"/>
              </w:rPr>
            </w:pPr>
            <w:r>
              <w:rPr>
                <w:rFonts w:hint="eastAsia" w:ascii="楷体" w:hAnsi="楷体" w:eastAsia="楷体"/>
                <w:szCs w:val="21"/>
                <w:highlight w:val="none"/>
              </w:rPr>
              <w:t>投资周期终止日</w:t>
            </w:r>
          </w:p>
        </w:tc>
        <w:tc>
          <w:tcPr>
            <w:tcW w:w="2381" w:type="dxa"/>
            <w:noWrap w:val="0"/>
            <w:vAlign w:val="center"/>
          </w:tcPr>
          <w:p>
            <w:pPr>
              <w:jc w:val="center"/>
              <w:rPr>
                <w:rFonts w:ascii="楷体" w:hAnsi="楷体" w:eastAsia="楷体"/>
                <w:szCs w:val="21"/>
                <w:highlight w:val="none"/>
              </w:rPr>
            </w:pPr>
            <w:r>
              <w:rPr>
                <w:rFonts w:hint="eastAsia" w:ascii="楷体" w:hAnsi="楷体" w:eastAsia="楷体"/>
                <w:szCs w:val="21"/>
                <w:highlight w:val="none"/>
              </w:rPr>
              <w:t>开放计划</w:t>
            </w:r>
          </w:p>
          <w:p>
            <w:pPr>
              <w:jc w:val="center"/>
              <w:rPr>
                <w:rFonts w:ascii="楷体" w:hAnsi="楷体" w:eastAsia="楷体"/>
                <w:szCs w:val="21"/>
                <w:highlight w:val="none"/>
              </w:rPr>
            </w:pPr>
            <w:r>
              <w:rPr>
                <w:rFonts w:hint="eastAsia" w:ascii="楷体" w:hAnsi="楷体" w:eastAsia="楷体"/>
                <w:szCs w:val="21"/>
                <w:highlight w:val="none"/>
              </w:rPr>
              <w:t>（申购/赎回时间）</w:t>
            </w:r>
          </w:p>
        </w:tc>
        <w:tc>
          <w:tcPr>
            <w:tcW w:w="1871" w:type="dxa"/>
            <w:noWrap w:val="0"/>
            <w:vAlign w:val="center"/>
          </w:tcPr>
          <w:p>
            <w:pPr>
              <w:jc w:val="center"/>
              <w:rPr>
                <w:rFonts w:ascii="楷体" w:hAnsi="楷体" w:eastAsia="楷体"/>
                <w:szCs w:val="21"/>
                <w:highlight w:val="none"/>
              </w:rPr>
            </w:pPr>
            <w:r>
              <w:rPr>
                <w:rFonts w:hint="eastAsia" w:ascii="楷体" w:hAnsi="楷体" w:eastAsia="楷体"/>
                <w:szCs w:val="21"/>
                <w:highlight w:val="none"/>
              </w:rPr>
              <w:t>申购/赎回确认日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ascii="楷体" w:hAnsi="楷体" w:eastAsia="楷体"/>
                <w:szCs w:val="21"/>
                <w:highlight w:val="none"/>
              </w:rPr>
            </w:pPr>
            <w:r>
              <w:rPr>
                <w:rFonts w:hint="eastAsia" w:ascii="楷体" w:hAnsi="楷体" w:eastAsia="楷体"/>
                <w:szCs w:val="21"/>
                <w:highlight w:val="none"/>
              </w:rPr>
              <w:t>1</w:t>
            </w:r>
          </w:p>
        </w:tc>
        <w:tc>
          <w:tcPr>
            <w:tcW w:w="1871" w:type="dxa"/>
            <w:noWrap w:val="0"/>
            <w:vAlign w:val="center"/>
          </w:tcPr>
          <w:p>
            <w:pPr>
              <w:jc w:val="center"/>
              <w:rPr>
                <w:rFonts w:hint="eastAsia" w:ascii="楷体" w:hAnsi="楷体" w:eastAsia="楷体"/>
                <w:szCs w:val="21"/>
                <w:highlight w:val="none"/>
                <w:lang w:eastAsia="zh-CN"/>
              </w:rPr>
            </w:pPr>
            <w:r>
              <w:rPr>
                <w:rFonts w:hint="eastAsia" w:ascii="楷体" w:hAnsi="楷体" w:eastAsia="楷体"/>
                <w:szCs w:val="21"/>
                <w:highlight w:val="none"/>
                <w:lang w:eastAsia="zh-CN"/>
              </w:rPr>
              <w:t>2022年4月7日</w:t>
            </w:r>
          </w:p>
        </w:tc>
        <w:tc>
          <w:tcPr>
            <w:tcW w:w="1871" w:type="dxa"/>
            <w:noWrap w:val="0"/>
            <w:vAlign w:val="center"/>
          </w:tcPr>
          <w:p>
            <w:pPr>
              <w:jc w:val="center"/>
              <w:rPr>
                <w:rFonts w:hint="eastAsia" w:ascii="楷体" w:hAnsi="楷体" w:eastAsia="楷体"/>
                <w:szCs w:val="21"/>
                <w:highlight w:val="none"/>
                <w:lang w:eastAsia="zh-CN"/>
              </w:rPr>
            </w:pPr>
            <w:r>
              <w:rPr>
                <w:rFonts w:hint="eastAsia" w:ascii="楷体" w:hAnsi="楷体" w:eastAsia="楷体"/>
                <w:szCs w:val="21"/>
                <w:highlight w:val="none"/>
                <w:lang w:eastAsia="zh-CN"/>
              </w:rPr>
              <w:t>2022年7月20日</w:t>
            </w:r>
          </w:p>
        </w:tc>
        <w:tc>
          <w:tcPr>
            <w:tcW w:w="2381" w:type="dxa"/>
            <w:noWrap w:val="0"/>
            <w:vAlign w:val="center"/>
          </w:tcPr>
          <w:p>
            <w:pPr>
              <w:jc w:val="center"/>
              <w:rPr>
                <w:rFonts w:ascii="楷体" w:hAnsi="楷体" w:eastAsia="楷体"/>
                <w:szCs w:val="21"/>
                <w:highlight w:val="none"/>
              </w:rPr>
            </w:pPr>
            <w:r>
              <w:rPr>
                <w:rFonts w:hint="eastAsia" w:ascii="楷体" w:hAnsi="楷体" w:eastAsia="楷体"/>
                <w:szCs w:val="21"/>
                <w:highlight w:val="none"/>
                <w:lang w:eastAsia="zh-CN"/>
              </w:rPr>
              <w:t>2022年</w:t>
            </w:r>
            <w:r>
              <w:rPr>
                <w:rFonts w:hint="eastAsia" w:ascii="楷体" w:hAnsi="楷体" w:eastAsia="楷体"/>
                <w:szCs w:val="21"/>
                <w:highlight w:val="none"/>
                <w:lang w:val="en-US" w:eastAsia="zh-CN"/>
              </w:rPr>
              <w:t>7</w:t>
            </w:r>
            <w:r>
              <w:rPr>
                <w:rFonts w:hint="eastAsia" w:ascii="楷体" w:hAnsi="楷体" w:eastAsia="楷体"/>
                <w:szCs w:val="21"/>
                <w:highlight w:val="none"/>
                <w:lang w:eastAsia="zh-CN"/>
              </w:rPr>
              <w:t>月</w:t>
            </w:r>
            <w:r>
              <w:rPr>
                <w:rFonts w:hint="eastAsia" w:ascii="楷体" w:hAnsi="楷体" w:eastAsia="楷体"/>
                <w:szCs w:val="21"/>
                <w:highlight w:val="none"/>
                <w:lang w:val="en-US" w:eastAsia="zh-CN"/>
              </w:rPr>
              <w:t>14</w:t>
            </w:r>
            <w:r>
              <w:rPr>
                <w:rFonts w:hint="eastAsia" w:ascii="楷体" w:hAnsi="楷体" w:eastAsia="楷体"/>
                <w:szCs w:val="21"/>
                <w:highlight w:val="none"/>
                <w:lang w:eastAsia="zh-CN"/>
              </w:rPr>
              <w:t>日</w:t>
            </w:r>
            <w:r>
              <w:rPr>
                <w:rFonts w:hint="eastAsia" w:ascii="楷体" w:hAnsi="楷体" w:eastAsia="楷体"/>
                <w:szCs w:val="21"/>
                <w:highlight w:val="none"/>
              </w:rPr>
              <w:t>9:00</w:t>
            </w:r>
          </w:p>
          <w:p>
            <w:pPr>
              <w:jc w:val="center"/>
              <w:rPr>
                <w:rFonts w:ascii="楷体" w:hAnsi="楷体" w:eastAsia="楷体"/>
                <w:szCs w:val="21"/>
                <w:highlight w:val="none"/>
              </w:rPr>
            </w:pPr>
            <w:r>
              <w:rPr>
                <w:rFonts w:hint="eastAsia" w:ascii="楷体" w:hAnsi="楷体" w:eastAsia="楷体"/>
                <w:szCs w:val="21"/>
                <w:highlight w:val="none"/>
              </w:rPr>
              <w:t>至</w:t>
            </w:r>
          </w:p>
          <w:p>
            <w:pPr>
              <w:jc w:val="center"/>
              <w:rPr>
                <w:rFonts w:ascii="楷体" w:hAnsi="楷体" w:eastAsia="楷体"/>
                <w:szCs w:val="21"/>
                <w:highlight w:val="none"/>
              </w:rPr>
            </w:pPr>
            <w:r>
              <w:rPr>
                <w:rFonts w:hint="eastAsia" w:ascii="楷体" w:hAnsi="楷体" w:eastAsia="楷体"/>
                <w:szCs w:val="21"/>
                <w:highlight w:val="none"/>
                <w:lang w:eastAsia="zh-CN"/>
              </w:rPr>
              <w:t>2022年7月20日</w:t>
            </w:r>
            <w:r>
              <w:rPr>
                <w:rFonts w:hint="eastAsia" w:ascii="楷体" w:hAnsi="楷体" w:eastAsia="楷体"/>
                <w:szCs w:val="21"/>
                <w:highlight w:val="none"/>
              </w:rPr>
              <w:t>17:00</w:t>
            </w:r>
          </w:p>
        </w:tc>
        <w:tc>
          <w:tcPr>
            <w:tcW w:w="1871" w:type="dxa"/>
            <w:noWrap w:val="0"/>
            <w:vAlign w:val="center"/>
          </w:tcPr>
          <w:p>
            <w:pPr>
              <w:jc w:val="center"/>
              <w:rPr>
                <w:rFonts w:hint="eastAsia" w:ascii="楷体" w:hAnsi="楷体" w:eastAsia="楷体"/>
                <w:szCs w:val="21"/>
                <w:highlight w:val="none"/>
                <w:lang w:eastAsia="zh-CN"/>
              </w:rPr>
            </w:pPr>
            <w:r>
              <w:rPr>
                <w:rFonts w:hint="eastAsia" w:ascii="楷体" w:hAnsi="楷体" w:eastAsia="楷体"/>
                <w:szCs w:val="21"/>
                <w:highlight w:val="none"/>
                <w:lang w:eastAsia="zh-CN"/>
              </w:rPr>
              <w:t>2022年7月21日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ascii="楷体" w:hAnsi="楷体" w:eastAsia="楷体"/>
                <w:szCs w:val="21"/>
                <w:highlight w:val="none"/>
              </w:rPr>
            </w:pPr>
            <w:r>
              <w:rPr>
                <w:rFonts w:hint="eastAsia" w:ascii="楷体" w:hAnsi="楷体" w:eastAsia="楷体"/>
                <w:szCs w:val="21"/>
                <w:highlight w:val="none"/>
              </w:rPr>
              <w:t>2</w:t>
            </w:r>
          </w:p>
        </w:tc>
        <w:tc>
          <w:tcPr>
            <w:tcW w:w="1871" w:type="dxa"/>
            <w:noWrap w:val="0"/>
            <w:vAlign w:val="center"/>
          </w:tcPr>
          <w:p>
            <w:pPr>
              <w:jc w:val="center"/>
              <w:rPr>
                <w:rFonts w:hint="eastAsia" w:ascii="楷体" w:hAnsi="楷体" w:eastAsia="楷体"/>
                <w:szCs w:val="21"/>
                <w:highlight w:val="none"/>
                <w:lang w:eastAsia="zh-CN"/>
              </w:rPr>
            </w:pPr>
            <w:r>
              <w:rPr>
                <w:rFonts w:hint="eastAsia" w:ascii="楷体" w:hAnsi="楷体" w:eastAsia="楷体"/>
                <w:szCs w:val="21"/>
                <w:highlight w:val="none"/>
                <w:lang w:eastAsia="zh-CN"/>
              </w:rPr>
              <w:t>2022年7月21日</w:t>
            </w:r>
          </w:p>
        </w:tc>
        <w:tc>
          <w:tcPr>
            <w:tcW w:w="1871" w:type="dxa"/>
            <w:noWrap w:val="0"/>
            <w:vAlign w:val="center"/>
          </w:tcPr>
          <w:p>
            <w:pPr>
              <w:jc w:val="center"/>
              <w:rPr>
                <w:rFonts w:hint="eastAsia" w:ascii="楷体" w:hAnsi="楷体" w:eastAsia="楷体"/>
                <w:szCs w:val="21"/>
                <w:highlight w:val="none"/>
                <w:lang w:eastAsia="zh-CN"/>
              </w:rPr>
            </w:pPr>
            <w:r>
              <w:rPr>
                <w:rFonts w:hint="eastAsia" w:ascii="楷体" w:hAnsi="Times New Roman" w:eastAsia="楷体" w:cs="楷体"/>
                <w:color w:val="000000"/>
                <w:kern w:val="0"/>
                <w:szCs w:val="21"/>
                <w:highlight w:val="none"/>
                <w:lang w:eastAsia="zh-CN"/>
              </w:rPr>
              <w:t>2022年11月1日</w:t>
            </w:r>
          </w:p>
        </w:tc>
        <w:tc>
          <w:tcPr>
            <w:tcW w:w="2381" w:type="dxa"/>
            <w:noWrap w:val="0"/>
            <w:vAlign w:val="center"/>
          </w:tcPr>
          <w:p>
            <w:pPr>
              <w:jc w:val="center"/>
              <w:rPr>
                <w:rFonts w:hint="eastAsia" w:ascii="楷体" w:hAnsi="楷体" w:eastAsia="楷体"/>
                <w:szCs w:val="21"/>
                <w:highlight w:val="none"/>
              </w:rPr>
            </w:pPr>
            <w:r>
              <w:rPr>
                <w:rFonts w:hint="eastAsia" w:ascii="楷体" w:hAnsi="楷体" w:eastAsia="楷体"/>
                <w:szCs w:val="21"/>
                <w:highlight w:val="none"/>
                <w:lang w:eastAsia="zh-CN"/>
              </w:rPr>
              <w:t>2022年10月</w:t>
            </w:r>
            <w:r>
              <w:rPr>
                <w:rFonts w:hint="eastAsia" w:ascii="楷体" w:hAnsi="楷体" w:eastAsia="楷体"/>
                <w:szCs w:val="21"/>
                <w:highlight w:val="none"/>
                <w:lang w:val="en-US" w:eastAsia="zh-CN"/>
              </w:rPr>
              <w:t>26</w:t>
            </w:r>
            <w:r>
              <w:rPr>
                <w:rFonts w:hint="eastAsia" w:ascii="楷体" w:hAnsi="楷体" w:eastAsia="楷体"/>
                <w:szCs w:val="21"/>
                <w:highlight w:val="none"/>
                <w:lang w:eastAsia="zh-CN"/>
              </w:rPr>
              <w:t>日</w:t>
            </w:r>
            <w:r>
              <w:rPr>
                <w:rFonts w:hint="eastAsia" w:ascii="楷体" w:hAnsi="楷体" w:eastAsia="楷体"/>
                <w:szCs w:val="21"/>
                <w:highlight w:val="none"/>
              </w:rPr>
              <w:t>9:00</w:t>
            </w:r>
          </w:p>
          <w:p>
            <w:pPr>
              <w:jc w:val="center"/>
              <w:rPr>
                <w:rFonts w:hint="eastAsia" w:ascii="楷体" w:hAnsi="楷体" w:eastAsia="楷体"/>
                <w:szCs w:val="21"/>
                <w:highlight w:val="none"/>
              </w:rPr>
            </w:pPr>
            <w:r>
              <w:rPr>
                <w:rFonts w:hint="eastAsia" w:ascii="楷体" w:hAnsi="楷体" w:eastAsia="楷体"/>
                <w:szCs w:val="21"/>
                <w:highlight w:val="none"/>
              </w:rPr>
              <w:t>至</w:t>
            </w:r>
          </w:p>
          <w:p>
            <w:pPr>
              <w:jc w:val="center"/>
              <w:rPr>
                <w:rFonts w:ascii="楷体" w:hAnsi="楷体" w:eastAsia="楷体"/>
                <w:szCs w:val="21"/>
                <w:highlight w:val="none"/>
              </w:rPr>
            </w:pPr>
            <w:r>
              <w:rPr>
                <w:rFonts w:hint="eastAsia" w:ascii="楷体" w:hAnsi="Times New Roman" w:eastAsia="楷体" w:cs="楷体"/>
                <w:color w:val="000000"/>
                <w:kern w:val="0"/>
                <w:szCs w:val="21"/>
                <w:highlight w:val="none"/>
                <w:lang w:eastAsia="zh-CN"/>
              </w:rPr>
              <w:t>2022年11月1日</w:t>
            </w:r>
            <w:r>
              <w:rPr>
                <w:rFonts w:ascii="楷体" w:hAnsi="Times New Roman" w:eastAsia="楷体" w:cs="楷体"/>
                <w:color w:val="000000"/>
                <w:kern w:val="0"/>
                <w:szCs w:val="21"/>
                <w:highlight w:val="none"/>
              </w:rPr>
              <w:t>17:00</w:t>
            </w:r>
          </w:p>
        </w:tc>
        <w:tc>
          <w:tcPr>
            <w:tcW w:w="1871" w:type="dxa"/>
            <w:noWrap w:val="0"/>
            <w:vAlign w:val="center"/>
          </w:tcPr>
          <w:p>
            <w:pPr>
              <w:jc w:val="center"/>
              <w:rPr>
                <w:rFonts w:hint="eastAsia" w:ascii="楷体" w:hAnsi="楷体" w:eastAsia="楷体"/>
                <w:szCs w:val="21"/>
                <w:highlight w:val="none"/>
                <w:lang w:eastAsia="zh-CN"/>
              </w:rPr>
            </w:pPr>
            <w:r>
              <w:rPr>
                <w:rFonts w:hint="eastAsia" w:ascii="楷体" w:hAnsi="Times New Roman" w:eastAsia="楷体" w:cs="楷体"/>
                <w:color w:val="000000"/>
                <w:kern w:val="0"/>
                <w:szCs w:val="21"/>
                <w:highlight w:val="none"/>
                <w:lang w:eastAsia="zh-CN"/>
              </w:rPr>
              <w:t>2022年11月2日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eastAsia" w:ascii="楷体" w:hAnsi="楷体" w:eastAsia="楷体"/>
                <w:szCs w:val="21"/>
                <w:highlight w:val="none"/>
              </w:rPr>
            </w:pPr>
            <w:r>
              <w:rPr>
                <w:rFonts w:hint="eastAsia" w:ascii="楷体" w:hAnsi="楷体" w:eastAsia="楷体"/>
                <w:szCs w:val="21"/>
                <w:highlight w:val="none"/>
              </w:rPr>
              <w:t>3</w:t>
            </w:r>
          </w:p>
        </w:tc>
        <w:tc>
          <w:tcPr>
            <w:tcW w:w="1871" w:type="dxa"/>
            <w:noWrap w:val="0"/>
            <w:vAlign w:val="center"/>
          </w:tcPr>
          <w:p>
            <w:pPr>
              <w:jc w:val="center"/>
              <w:rPr>
                <w:rFonts w:hint="eastAsia" w:ascii="楷体" w:hAnsi="楷体" w:eastAsia="楷体"/>
                <w:szCs w:val="21"/>
                <w:highlight w:val="none"/>
                <w:lang w:eastAsia="zh-CN"/>
              </w:rPr>
            </w:pPr>
            <w:r>
              <w:rPr>
                <w:rFonts w:hint="eastAsia" w:ascii="楷体" w:hAnsi="Times New Roman" w:eastAsia="楷体" w:cs="楷体"/>
                <w:color w:val="000000"/>
                <w:kern w:val="0"/>
                <w:szCs w:val="21"/>
                <w:highlight w:val="none"/>
                <w:lang w:eastAsia="zh-CN"/>
              </w:rPr>
              <w:t>2022年11月2日</w:t>
            </w:r>
          </w:p>
        </w:tc>
        <w:tc>
          <w:tcPr>
            <w:tcW w:w="1871" w:type="dxa"/>
            <w:noWrap w:val="0"/>
            <w:vAlign w:val="center"/>
          </w:tcPr>
          <w:p>
            <w:pPr>
              <w:jc w:val="center"/>
              <w:rPr>
                <w:rFonts w:hint="eastAsia" w:ascii="楷体" w:hAnsi="楷体" w:eastAsia="楷体"/>
                <w:szCs w:val="21"/>
                <w:highlight w:val="none"/>
                <w:lang w:eastAsia="zh-CN"/>
              </w:rPr>
            </w:pPr>
            <w:r>
              <w:rPr>
                <w:rFonts w:hint="eastAsia" w:ascii="楷体" w:hAnsi="Times New Roman" w:eastAsia="楷体" w:cs="楷体"/>
                <w:color w:val="000000"/>
                <w:kern w:val="0"/>
                <w:szCs w:val="21"/>
                <w:highlight w:val="none"/>
                <w:lang w:eastAsia="zh-CN"/>
              </w:rPr>
              <w:t>2023年2月14日</w:t>
            </w:r>
          </w:p>
        </w:tc>
        <w:tc>
          <w:tcPr>
            <w:tcW w:w="2381" w:type="dxa"/>
            <w:noWrap w:val="0"/>
            <w:vAlign w:val="center"/>
          </w:tcPr>
          <w:p>
            <w:pPr>
              <w:jc w:val="center"/>
              <w:rPr>
                <w:rFonts w:hint="eastAsia" w:ascii="楷体" w:hAnsi="楷体" w:eastAsia="楷体"/>
                <w:szCs w:val="21"/>
                <w:highlight w:val="none"/>
                <w:lang w:val="en-US" w:eastAsia="zh-CN"/>
              </w:rPr>
            </w:pPr>
            <w:r>
              <w:rPr>
                <w:rFonts w:hint="eastAsia" w:ascii="楷体" w:hAnsi="楷体" w:eastAsia="楷体"/>
                <w:szCs w:val="21"/>
                <w:highlight w:val="none"/>
                <w:lang w:val="en-US" w:eastAsia="zh-CN"/>
              </w:rPr>
              <w:t>2023年2月8日9:00</w:t>
            </w:r>
          </w:p>
          <w:p>
            <w:pPr>
              <w:jc w:val="center"/>
              <w:rPr>
                <w:rFonts w:hint="eastAsia" w:ascii="楷体" w:hAnsi="楷体" w:eastAsia="楷体"/>
                <w:szCs w:val="21"/>
                <w:highlight w:val="none"/>
                <w:lang w:val="en-US" w:eastAsia="zh-CN"/>
              </w:rPr>
            </w:pPr>
            <w:r>
              <w:rPr>
                <w:rFonts w:hint="eastAsia" w:ascii="楷体" w:hAnsi="楷体" w:eastAsia="楷体"/>
                <w:szCs w:val="21"/>
                <w:highlight w:val="none"/>
                <w:lang w:val="en-US" w:eastAsia="zh-CN"/>
              </w:rPr>
              <w:t>至</w:t>
            </w:r>
          </w:p>
          <w:p>
            <w:pPr>
              <w:jc w:val="center"/>
              <w:rPr>
                <w:rFonts w:hint="eastAsia" w:ascii="楷体" w:hAnsi="楷体" w:eastAsia="楷体"/>
                <w:szCs w:val="21"/>
                <w:highlight w:val="none"/>
              </w:rPr>
            </w:pPr>
            <w:r>
              <w:rPr>
                <w:rFonts w:hint="eastAsia" w:ascii="楷体" w:hAnsi="Times New Roman" w:eastAsia="楷体" w:cs="楷体"/>
                <w:color w:val="000000"/>
                <w:kern w:val="0"/>
                <w:szCs w:val="21"/>
                <w:highlight w:val="none"/>
                <w:lang w:eastAsia="zh-CN"/>
              </w:rPr>
              <w:t>2023年2月14日</w:t>
            </w:r>
            <w:r>
              <w:rPr>
                <w:rFonts w:ascii="楷体" w:hAnsi="Times New Roman" w:eastAsia="楷体" w:cs="楷体"/>
                <w:color w:val="000000"/>
                <w:kern w:val="0"/>
                <w:szCs w:val="21"/>
                <w:highlight w:val="none"/>
              </w:rPr>
              <w:t>17:00</w:t>
            </w:r>
          </w:p>
        </w:tc>
        <w:tc>
          <w:tcPr>
            <w:tcW w:w="1871" w:type="dxa"/>
            <w:noWrap w:val="0"/>
            <w:vAlign w:val="center"/>
          </w:tcPr>
          <w:p>
            <w:pPr>
              <w:jc w:val="center"/>
              <w:rPr>
                <w:rFonts w:hint="eastAsia" w:ascii="楷体" w:hAnsi="楷体" w:eastAsia="楷体"/>
                <w:szCs w:val="21"/>
                <w:highlight w:val="none"/>
                <w:lang w:eastAsia="zh-CN"/>
              </w:rPr>
            </w:pPr>
            <w:r>
              <w:rPr>
                <w:rFonts w:hint="eastAsia" w:ascii="楷体" w:hAnsi="Times New Roman" w:eastAsia="楷体" w:cs="楷体"/>
                <w:color w:val="000000"/>
                <w:kern w:val="0"/>
                <w:szCs w:val="21"/>
                <w:highlight w:val="none"/>
                <w:lang w:eastAsia="zh-CN"/>
              </w:rPr>
              <w:t>2023年2月15日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eastAsia" w:ascii="楷体" w:hAnsi="楷体" w:eastAsia="楷体"/>
                <w:szCs w:val="21"/>
                <w:highlight w:val="none"/>
                <w:lang w:val="en-US" w:eastAsia="zh-CN"/>
              </w:rPr>
            </w:pPr>
            <w:r>
              <w:rPr>
                <w:rFonts w:hint="eastAsia" w:ascii="楷体" w:hAnsi="楷体" w:eastAsia="楷体"/>
                <w:szCs w:val="21"/>
                <w:highlight w:val="none"/>
                <w:lang w:val="en-US" w:eastAsia="zh-CN"/>
              </w:rPr>
              <w:t>4</w:t>
            </w:r>
          </w:p>
        </w:tc>
        <w:tc>
          <w:tcPr>
            <w:tcW w:w="1871" w:type="dxa"/>
            <w:noWrap w:val="0"/>
            <w:vAlign w:val="center"/>
          </w:tcPr>
          <w:p>
            <w:pPr>
              <w:jc w:val="center"/>
              <w:rPr>
                <w:rFonts w:hint="eastAsia" w:ascii="楷体" w:hAnsi="Times New Roman" w:eastAsia="楷体" w:cs="楷体"/>
                <w:color w:val="000000"/>
                <w:kern w:val="0"/>
                <w:szCs w:val="21"/>
                <w:highlight w:val="none"/>
                <w:lang w:eastAsia="zh-CN"/>
              </w:rPr>
            </w:pPr>
            <w:r>
              <w:rPr>
                <w:rFonts w:hint="eastAsia" w:ascii="楷体" w:hAnsi="Times New Roman" w:eastAsia="楷体" w:cs="楷体"/>
                <w:color w:val="000000"/>
                <w:kern w:val="0"/>
                <w:szCs w:val="21"/>
                <w:highlight w:val="none"/>
                <w:lang w:eastAsia="zh-CN"/>
              </w:rPr>
              <w:t>2023年2月15日</w:t>
            </w:r>
          </w:p>
        </w:tc>
        <w:tc>
          <w:tcPr>
            <w:tcW w:w="1871" w:type="dxa"/>
            <w:noWrap w:val="0"/>
            <w:vAlign w:val="center"/>
          </w:tcPr>
          <w:p>
            <w:pPr>
              <w:jc w:val="center"/>
              <w:rPr>
                <w:rFonts w:hint="default" w:ascii="楷体" w:hAnsi="Times New Roman" w:eastAsia="楷体" w:cs="楷体"/>
                <w:color w:val="000000"/>
                <w:kern w:val="0"/>
                <w:sz w:val="21"/>
                <w:szCs w:val="21"/>
                <w:highlight w:val="none"/>
                <w:lang w:val="en-US" w:eastAsia="zh-CN" w:bidi="ar-SA"/>
              </w:rPr>
            </w:pPr>
            <w:r>
              <w:rPr>
                <w:rFonts w:hint="eastAsia" w:ascii="楷体" w:hAnsi="Times New Roman" w:eastAsia="楷体" w:cs="楷体"/>
                <w:color w:val="000000"/>
                <w:kern w:val="0"/>
                <w:szCs w:val="21"/>
                <w:highlight w:val="none"/>
                <w:lang w:val="en-US" w:eastAsia="zh-CN"/>
              </w:rPr>
              <w:t>2023年5月25日</w:t>
            </w:r>
          </w:p>
        </w:tc>
        <w:tc>
          <w:tcPr>
            <w:tcW w:w="2381" w:type="dxa"/>
            <w:noWrap w:val="0"/>
            <w:vAlign w:val="center"/>
          </w:tcPr>
          <w:p>
            <w:pPr>
              <w:jc w:val="center"/>
              <w:rPr>
                <w:rFonts w:hint="eastAsia" w:ascii="楷体" w:hAnsi="楷体" w:eastAsia="楷体"/>
                <w:szCs w:val="21"/>
                <w:highlight w:val="none"/>
                <w:lang w:val="en-US" w:eastAsia="zh-CN"/>
              </w:rPr>
            </w:pPr>
            <w:r>
              <w:rPr>
                <w:rFonts w:hint="eastAsia" w:ascii="楷体" w:hAnsi="Times New Roman" w:eastAsia="楷体" w:cs="楷体"/>
                <w:color w:val="000000"/>
                <w:kern w:val="0"/>
                <w:szCs w:val="21"/>
                <w:highlight w:val="none"/>
                <w:lang w:val="en-US" w:eastAsia="zh-CN"/>
              </w:rPr>
              <w:t>2023年5月19日</w:t>
            </w:r>
            <w:r>
              <w:rPr>
                <w:rFonts w:hint="eastAsia" w:ascii="楷体" w:hAnsi="楷体" w:eastAsia="楷体"/>
                <w:szCs w:val="21"/>
                <w:highlight w:val="none"/>
                <w:lang w:val="en-US" w:eastAsia="zh-CN"/>
              </w:rPr>
              <w:t>9:00</w:t>
            </w:r>
          </w:p>
          <w:p>
            <w:pPr>
              <w:jc w:val="center"/>
              <w:rPr>
                <w:rFonts w:hint="eastAsia" w:ascii="楷体" w:hAnsi="楷体" w:eastAsia="楷体"/>
                <w:szCs w:val="21"/>
                <w:highlight w:val="none"/>
                <w:lang w:val="en-US" w:eastAsia="zh-CN"/>
              </w:rPr>
            </w:pPr>
            <w:r>
              <w:rPr>
                <w:rFonts w:hint="eastAsia" w:ascii="楷体" w:hAnsi="楷体" w:eastAsia="楷体"/>
                <w:szCs w:val="21"/>
                <w:highlight w:val="none"/>
                <w:lang w:val="en-US" w:eastAsia="zh-CN"/>
              </w:rPr>
              <w:t>至</w:t>
            </w:r>
          </w:p>
          <w:p>
            <w:pPr>
              <w:jc w:val="center"/>
              <w:rPr>
                <w:rFonts w:ascii="楷体" w:hAnsi="Times New Roman" w:eastAsia="楷体" w:cs="楷体"/>
                <w:color w:val="000000"/>
                <w:kern w:val="0"/>
                <w:szCs w:val="21"/>
                <w:highlight w:val="none"/>
              </w:rPr>
            </w:pPr>
            <w:r>
              <w:rPr>
                <w:rFonts w:hint="eastAsia" w:ascii="楷体" w:hAnsi="Times New Roman" w:eastAsia="楷体" w:cs="楷体"/>
                <w:color w:val="000000"/>
                <w:kern w:val="0"/>
                <w:szCs w:val="21"/>
                <w:highlight w:val="none"/>
                <w:lang w:val="en-US" w:eastAsia="zh-CN"/>
              </w:rPr>
              <w:t>2023年5月25日</w:t>
            </w:r>
            <w:r>
              <w:rPr>
                <w:rFonts w:ascii="楷体" w:hAnsi="Times New Roman" w:eastAsia="楷体" w:cs="楷体"/>
                <w:color w:val="000000"/>
                <w:kern w:val="0"/>
                <w:szCs w:val="21"/>
                <w:highlight w:val="none"/>
              </w:rPr>
              <w:t>17:00</w:t>
            </w:r>
          </w:p>
        </w:tc>
        <w:tc>
          <w:tcPr>
            <w:tcW w:w="1871" w:type="dxa"/>
            <w:noWrap w:val="0"/>
            <w:vAlign w:val="center"/>
          </w:tcPr>
          <w:p>
            <w:pPr>
              <w:jc w:val="center"/>
              <w:rPr>
                <w:rFonts w:hint="default" w:ascii="楷体" w:hAnsi="Times New Roman" w:eastAsia="楷体" w:cs="楷体"/>
                <w:color w:val="000000"/>
                <w:kern w:val="0"/>
                <w:sz w:val="21"/>
                <w:szCs w:val="21"/>
                <w:highlight w:val="none"/>
                <w:lang w:val="en-US" w:eastAsia="zh-CN" w:bidi="ar-SA"/>
              </w:rPr>
            </w:pPr>
            <w:r>
              <w:rPr>
                <w:rFonts w:hint="eastAsia" w:ascii="楷体" w:hAnsi="Times New Roman" w:eastAsia="楷体" w:cs="楷体"/>
                <w:color w:val="000000"/>
                <w:kern w:val="0"/>
                <w:szCs w:val="21"/>
                <w:highlight w:val="none"/>
                <w:lang w:val="en-US" w:eastAsia="zh-CN"/>
              </w:rPr>
              <w:t>2023年5月26日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default" w:ascii="楷体" w:hAnsi="楷体" w:eastAsia="楷体"/>
                <w:szCs w:val="21"/>
                <w:highlight w:val="none"/>
                <w:lang w:val="en-US" w:eastAsia="zh-CN"/>
              </w:rPr>
            </w:pPr>
            <w:r>
              <w:rPr>
                <w:rFonts w:hint="eastAsia" w:ascii="楷体" w:hAnsi="楷体" w:eastAsia="楷体"/>
                <w:szCs w:val="21"/>
                <w:highlight w:val="none"/>
                <w:lang w:val="en-US" w:eastAsia="zh-CN"/>
              </w:rPr>
              <w:t>5</w:t>
            </w:r>
          </w:p>
        </w:tc>
        <w:tc>
          <w:tcPr>
            <w:tcW w:w="1871" w:type="dxa"/>
            <w:noWrap w:val="0"/>
            <w:vAlign w:val="center"/>
          </w:tcPr>
          <w:p>
            <w:pPr>
              <w:jc w:val="center"/>
              <w:rPr>
                <w:rFonts w:hint="default" w:ascii="楷体" w:hAnsi="Times New Roman" w:eastAsia="楷体" w:cs="楷体"/>
                <w:color w:val="000000"/>
                <w:kern w:val="0"/>
                <w:szCs w:val="21"/>
                <w:highlight w:val="none"/>
                <w:lang w:val="en-US" w:eastAsia="zh-CN"/>
              </w:rPr>
            </w:pPr>
            <w:r>
              <w:rPr>
                <w:rFonts w:hint="eastAsia" w:ascii="楷体" w:hAnsi="Times New Roman" w:eastAsia="楷体" w:cs="楷体"/>
                <w:color w:val="000000"/>
                <w:kern w:val="0"/>
                <w:szCs w:val="21"/>
                <w:highlight w:val="none"/>
                <w:lang w:val="en-US" w:eastAsia="zh-CN"/>
              </w:rPr>
              <w:t>2023年5月26日</w:t>
            </w:r>
          </w:p>
        </w:tc>
        <w:tc>
          <w:tcPr>
            <w:tcW w:w="1871" w:type="dxa"/>
            <w:noWrap w:val="0"/>
            <w:vAlign w:val="center"/>
          </w:tcPr>
          <w:p>
            <w:pPr>
              <w:jc w:val="center"/>
              <w:rPr>
                <w:rFonts w:hint="default" w:ascii="楷体" w:hAnsi="Times New Roman" w:eastAsia="楷体" w:cs="楷体"/>
                <w:color w:val="000000"/>
                <w:kern w:val="0"/>
                <w:sz w:val="21"/>
                <w:szCs w:val="21"/>
                <w:highlight w:val="none"/>
                <w:lang w:val="en-US" w:eastAsia="zh-CN" w:bidi="ar-SA"/>
              </w:rPr>
            </w:pPr>
            <w:r>
              <w:rPr>
                <w:rFonts w:hint="eastAsia" w:ascii="楷体" w:hAnsi="Times New Roman" w:eastAsia="楷体" w:cs="楷体"/>
                <w:color w:val="000000"/>
                <w:kern w:val="0"/>
                <w:szCs w:val="21"/>
                <w:highlight w:val="none"/>
                <w:lang w:val="en-US" w:eastAsia="zh-CN"/>
              </w:rPr>
              <w:t>2023年8月31日</w:t>
            </w:r>
          </w:p>
        </w:tc>
        <w:tc>
          <w:tcPr>
            <w:tcW w:w="2381" w:type="dxa"/>
            <w:noWrap w:val="0"/>
            <w:vAlign w:val="center"/>
          </w:tcPr>
          <w:p>
            <w:pPr>
              <w:jc w:val="center"/>
              <w:rPr>
                <w:rFonts w:hint="eastAsia" w:ascii="楷体" w:hAnsi="楷体" w:eastAsia="楷体"/>
                <w:szCs w:val="21"/>
                <w:highlight w:val="none"/>
                <w:lang w:val="en-US" w:eastAsia="zh-CN"/>
              </w:rPr>
            </w:pPr>
            <w:r>
              <w:rPr>
                <w:rFonts w:hint="eastAsia" w:ascii="楷体" w:hAnsi="Times New Roman" w:eastAsia="楷体" w:cs="楷体"/>
                <w:color w:val="000000"/>
                <w:kern w:val="0"/>
                <w:szCs w:val="21"/>
                <w:highlight w:val="none"/>
                <w:lang w:val="en-US" w:eastAsia="zh-CN"/>
              </w:rPr>
              <w:t>2023年8月25日</w:t>
            </w:r>
            <w:r>
              <w:rPr>
                <w:rFonts w:hint="eastAsia" w:ascii="楷体" w:hAnsi="楷体" w:eastAsia="楷体"/>
                <w:szCs w:val="21"/>
                <w:highlight w:val="none"/>
                <w:lang w:val="en-US" w:eastAsia="zh-CN"/>
              </w:rPr>
              <w:t>9:00</w:t>
            </w:r>
          </w:p>
          <w:p>
            <w:pPr>
              <w:jc w:val="center"/>
              <w:rPr>
                <w:rFonts w:hint="eastAsia" w:ascii="楷体" w:hAnsi="楷体" w:eastAsia="楷体"/>
                <w:szCs w:val="21"/>
                <w:highlight w:val="none"/>
                <w:lang w:val="en-US" w:eastAsia="zh-CN"/>
              </w:rPr>
            </w:pPr>
            <w:r>
              <w:rPr>
                <w:rFonts w:hint="eastAsia" w:ascii="楷体" w:hAnsi="楷体" w:eastAsia="楷体"/>
                <w:szCs w:val="21"/>
                <w:highlight w:val="none"/>
                <w:lang w:val="en-US" w:eastAsia="zh-CN"/>
              </w:rPr>
              <w:t>至</w:t>
            </w:r>
          </w:p>
          <w:p>
            <w:pPr>
              <w:jc w:val="center"/>
              <w:rPr>
                <w:rFonts w:ascii="楷体" w:hAnsi="Times New Roman" w:eastAsia="楷体" w:cs="楷体"/>
                <w:color w:val="000000"/>
                <w:kern w:val="0"/>
                <w:sz w:val="21"/>
                <w:szCs w:val="21"/>
                <w:highlight w:val="none"/>
                <w:lang w:val="en-US" w:eastAsia="zh-CN" w:bidi="ar-SA"/>
              </w:rPr>
            </w:pPr>
            <w:r>
              <w:rPr>
                <w:rFonts w:hint="eastAsia" w:ascii="楷体" w:hAnsi="Times New Roman" w:eastAsia="楷体" w:cs="楷体"/>
                <w:color w:val="000000"/>
                <w:kern w:val="0"/>
                <w:szCs w:val="21"/>
                <w:highlight w:val="none"/>
                <w:lang w:val="en-US" w:eastAsia="zh-CN"/>
              </w:rPr>
              <w:t>2023年8月31日</w:t>
            </w:r>
            <w:r>
              <w:rPr>
                <w:rFonts w:ascii="楷体" w:hAnsi="Times New Roman" w:eastAsia="楷体" w:cs="楷体"/>
                <w:color w:val="000000"/>
                <w:kern w:val="0"/>
                <w:szCs w:val="21"/>
                <w:highlight w:val="none"/>
              </w:rPr>
              <w:t>17:00</w:t>
            </w:r>
          </w:p>
        </w:tc>
        <w:tc>
          <w:tcPr>
            <w:tcW w:w="1871" w:type="dxa"/>
            <w:noWrap w:val="0"/>
            <w:vAlign w:val="center"/>
          </w:tcPr>
          <w:p>
            <w:pPr>
              <w:jc w:val="center"/>
              <w:rPr>
                <w:rFonts w:ascii="楷体" w:hAnsi="Times New Roman" w:eastAsia="楷体" w:cs="楷体"/>
                <w:color w:val="000000"/>
                <w:kern w:val="0"/>
                <w:sz w:val="21"/>
                <w:szCs w:val="21"/>
                <w:highlight w:val="none"/>
                <w:lang w:val="en-US" w:eastAsia="zh-CN" w:bidi="ar-SA"/>
              </w:rPr>
            </w:pPr>
            <w:r>
              <w:rPr>
                <w:rFonts w:hint="eastAsia" w:ascii="楷体" w:hAnsi="Times New Roman" w:eastAsia="楷体" w:cs="楷体"/>
                <w:color w:val="000000"/>
                <w:kern w:val="0"/>
                <w:szCs w:val="21"/>
                <w:highlight w:val="none"/>
                <w:lang w:val="en-US" w:eastAsia="zh-CN"/>
              </w:rPr>
              <w:t>2023年9月1日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default" w:ascii="楷体" w:hAnsi="楷体" w:eastAsia="楷体"/>
                <w:szCs w:val="21"/>
                <w:highlight w:val="none"/>
                <w:lang w:val="en-US" w:eastAsia="zh-CN"/>
              </w:rPr>
            </w:pPr>
            <w:r>
              <w:rPr>
                <w:rFonts w:hint="eastAsia" w:ascii="楷体" w:hAnsi="楷体" w:eastAsia="楷体"/>
                <w:szCs w:val="21"/>
                <w:highlight w:val="none"/>
                <w:lang w:val="en-US" w:eastAsia="zh-CN"/>
              </w:rPr>
              <w:t>6</w:t>
            </w:r>
          </w:p>
        </w:tc>
        <w:tc>
          <w:tcPr>
            <w:tcW w:w="1871" w:type="dxa"/>
            <w:noWrap w:val="0"/>
            <w:vAlign w:val="center"/>
          </w:tcPr>
          <w:p>
            <w:pPr>
              <w:jc w:val="center"/>
              <w:rPr>
                <w:rFonts w:hint="eastAsia" w:ascii="楷体" w:hAnsi="Times New Roman" w:eastAsia="楷体" w:cs="楷体"/>
                <w:color w:val="000000"/>
                <w:kern w:val="0"/>
                <w:szCs w:val="21"/>
                <w:highlight w:val="none"/>
                <w:lang w:val="en-US" w:eastAsia="zh-CN"/>
              </w:rPr>
            </w:pPr>
            <w:r>
              <w:rPr>
                <w:rFonts w:hint="eastAsia" w:ascii="楷体" w:hAnsi="Times New Roman" w:eastAsia="楷体" w:cs="楷体"/>
                <w:color w:val="000000"/>
                <w:kern w:val="0"/>
                <w:szCs w:val="21"/>
                <w:highlight w:val="none"/>
                <w:lang w:val="en-US" w:eastAsia="zh-CN"/>
              </w:rPr>
              <w:t>2023年9月1日</w:t>
            </w:r>
          </w:p>
        </w:tc>
        <w:tc>
          <w:tcPr>
            <w:tcW w:w="1871" w:type="dxa"/>
            <w:noWrap w:val="0"/>
            <w:vAlign w:val="center"/>
          </w:tcPr>
          <w:p>
            <w:pPr>
              <w:jc w:val="center"/>
              <w:rPr>
                <w:rFonts w:ascii="楷体" w:hAnsi="Times New Roman" w:eastAsia="楷体" w:cs="楷体"/>
                <w:color w:val="000000"/>
                <w:kern w:val="0"/>
                <w:szCs w:val="21"/>
                <w:highlight w:val="none"/>
              </w:rPr>
            </w:pPr>
            <w:r>
              <w:rPr>
                <w:rFonts w:hint="eastAsia" w:ascii="楷体" w:hAnsi="Times New Roman" w:eastAsia="楷体" w:cs="楷体"/>
                <w:color w:val="000000"/>
                <w:kern w:val="0"/>
                <w:szCs w:val="21"/>
                <w:highlight w:val="none"/>
                <w:lang w:val="en-US" w:eastAsia="zh-CN"/>
              </w:rPr>
              <w:t>2023年12月12日</w:t>
            </w:r>
          </w:p>
        </w:tc>
        <w:tc>
          <w:tcPr>
            <w:tcW w:w="2381" w:type="dxa"/>
            <w:noWrap w:val="0"/>
            <w:vAlign w:val="center"/>
          </w:tcPr>
          <w:p>
            <w:pPr>
              <w:jc w:val="center"/>
              <w:rPr>
                <w:rFonts w:hint="eastAsia" w:ascii="楷体" w:hAnsi="楷体" w:eastAsia="楷体"/>
                <w:szCs w:val="21"/>
                <w:highlight w:val="none"/>
                <w:lang w:val="en-US" w:eastAsia="zh-CN"/>
              </w:rPr>
            </w:pPr>
            <w:r>
              <w:rPr>
                <w:rFonts w:hint="eastAsia" w:ascii="楷体" w:hAnsi="Times New Roman" w:eastAsia="楷体" w:cs="楷体"/>
                <w:color w:val="000000"/>
                <w:kern w:val="0"/>
                <w:szCs w:val="21"/>
                <w:highlight w:val="none"/>
                <w:lang w:val="en-US" w:eastAsia="zh-CN"/>
              </w:rPr>
              <w:t>2023年12月6日</w:t>
            </w:r>
            <w:r>
              <w:rPr>
                <w:rFonts w:hint="eastAsia" w:ascii="楷体" w:hAnsi="楷体" w:eastAsia="楷体"/>
                <w:szCs w:val="21"/>
                <w:highlight w:val="none"/>
                <w:lang w:val="en-US" w:eastAsia="zh-CN"/>
              </w:rPr>
              <w:t>9:00</w:t>
            </w:r>
          </w:p>
          <w:p>
            <w:pPr>
              <w:jc w:val="center"/>
              <w:rPr>
                <w:rFonts w:hint="eastAsia" w:ascii="楷体" w:hAnsi="楷体" w:eastAsia="楷体"/>
                <w:szCs w:val="21"/>
                <w:highlight w:val="none"/>
                <w:lang w:val="en-US" w:eastAsia="zh-CN"/>
              </w:rPr>
            </w:pPr>
            <w:r>
              <w:rPr>
                <w:rFonts w:hint="eastAsia" w:ascii="楷体" w:hAnsi="楷体" w:eastAsia="楷体"/>
                <w:szCs w:val="21"/>
                <w:highlight w:val="none"/>
                <w:lang w:val="en-US" w:eastAsia="zh-CN"/>
              </w:rPr>
              <w:t>至</w:t>
            </w:r>
          </w:p>
          <w:p>
            <w:pPr>
              <w:jc w:val="center"/>
              <w:rPr>
                <w:rFonts w:ascii="楷体" w:hAnsi="Times New Roman" w:eastAsia="楷体" w:cs="楷体"/>
                <w:color w:val="000000"/>
                <w:kern w:val="0"/>
                <w:szCs w:val="21"/>
                <w:highlight w:val="none"/>
              </w:rPr>
            </w:pPr>
            <w:r>
              <w:rPr>
                <w:rFonts w:hint="eastAsia" w:ascii="楷体" w:hAnsi="Times New Roman" w:eastAsia="楷体" w:cs="楷体"/>
                <w:color w:val="000000"/>
                <w:kern w:val="0"/>
                <w:szCs w:val="21"/>
                <w:highlight w:val="none"/>
                <w:lang w:val="en-US" w:eastAsia="zh-CN"/>
              </w:rPr>
              <w:t>2023年12月12日</w:t>
            </w:r>
            <w:r>
              <w:rPr>
                <w:rFonts w:ascii="楷体" w:hAnsi="Times New Roman" w:eastAsia="楷体" w:cs="楷体"/>
                <w:color w:val="000000"/>
                <w:kern w:val="0"/>
                <w:szCs w:val="21"/>
                <w:highlight w:val="none"/>
              </w:rPr>
              <w:t>17:00</w:t>
            </w:r>
          </w:p>
        </w:tc>
        <w:tc>
          <w:tcPr>
            <w:tcW w:w="1871" w:type="dxa"/>
            <w:noWrap w:val="0"/>
            <w:vAlign w:val="center"/>
          </w:tcPr>
          <w:p>
            <w:pPr>
              <w:jc w:val="center"/>
              <w:rPr>
                <w:rFonts w:ascii="楷体" w:hAnsi="Times New Roman" w:eastAsia="楷体" w:cs="楷体"/>
                <w:color w:val="000000"/>
                <w:kern w:val="0"/>
                <w:szCs w:val="21"/>
                <w:highlight w:val="none"/>
              </w:rPr>
            </w:pPr>
            <w:r>
              <w:rPr>
                <w:rFonts w:hint="eastAsia" w:ascii="楷体" w:hAnsi="Times New Roman" w:eastAsia="楷体" w:cs="楷体"/>
                <w:color w:val="000000"/>
                <w:kern w:val="0"/>
                <w:szCs w:val="21"/>
                <w:highlight w:val="none"/>
                <w:lang w:val="en-US" w:eastAsia="zh-CN"/>
              </w:rPr>
              <w:t>2023年12月13日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default" w:ascii="楷体" w:hAnsi="楷体" w:eastAsia="楷体"/>
                <w:szCs w:val="21"/>
                <w:highlight w:val="none"/>
                <w:lang w:val="en-US" w:eastAsia="zh-CN"/>
              </w:rPr>
            </w:pPr>
            <w:r>
              <w:rPr>
                <w:rFonts w:hint="eastAsia" w:ascii="楷体" w:hAnsi="楷体" w:eastAsia="楷体"/>
                <w:szCs w:val="21"/>
                <w:highlight w:val="none"/>
                <w:lang w:val="en-US" w:eastAsia="zh-CN"/>
              </w:rPr>
              <w:t>7</w:t>
            </w:r>
          </w:p>
        </w:tc>
        <w:tc>
          <w:tcPr>
            <w:tcW w:w="1871" w:type="dxa"/>
            <w:noWrap w:val="0"/>
            <w:vAlign w:val="center"/>
          </w:tcPr>
          <w:p>
            <w:pPr>
              <w:jc w:val="center"/>
              <w:rPr>
                <w:rFonts w:hint="eastAsia" w:ascii="楷体" w:hAnsi="Times New Roman" w:eastAsia="楷体" w:cs="楷体"/>
                <w:color w:val="000000"/>
                <w:kern w:val="0"/>
                <w:szCs w:val="21"/>
                <w:highlight w:val="none"/>
                <w:lang w:val="en-US" w:eastAsia="zh-CN"/>
              </w:rPr>
            </w:pPr>
            <w:r>
              <w:rPr>
                <w:rFonts w:hint="eastAsia" w:ascii="楷体" w:hAnsi="Times New Roman" w:eastAsia="楷体" w:cs="楷体"/>
                <w:color w:val="000000"/>
                <w:kern w:val="0"/>
                <w:szCs w:val="21"/>
                <w:highlight w:val="none"/>
                <w:lang w:val="en-US" w:eastAsia="zh-CN"/>
              </w:rPr>
              <w:t>2023年12月13日</w:t>
            </w:r>
          </w:p>
        </w:tc>
        <w:tc>
          <w:tcPr>
            <w:tcW w:w="1871" w:type="dxa"/>
            <w:noWrap w:val="0"/>
            <w:vAlign w:val="center"/>
          </w:tcPr>
          <w:p>
            <w:pPr>
              <w:jc w:val="center"/>
              <w:rPr>
                <w:rFonts w:hint="eastAsia" w:ascii="楷体" w:hAnsi="Times New Roman" w:eastAsia="楷体" w:cs="楷体"/>
                <w:color w:val="000000"/>
                <w:kern w:val="0"/>
                <w:sz w:val="21"/>
                <w:szCs w:val="21"/>
                <w:highlight w:val="none"/>
                <w:lang w:val="en-US" w:eastAsia="zh-CN" w:bidi="ar-SA"/>
              </w:rPr>
            </w:pPr>
            <w:r>
              <w:rPr>
                <w:rFonts w:hint="eastAsia" w:ascii="楷体" w:hAnsi="Times New Roman" w:eastAsia="楷体" w:cs="楷体"/>
                <w:color w:val="000000"/>
                <w:kern w:val="0"/>
                <w:szCs w:val="21"/>
                <w:highlight w:val="none"/>
                <w:lang w:val="en-US" w:eastAsia="zh-CN"/>
              </w:rPr>
              <w:t>2024年3月21日</w:t>
            </w:r>
          </w:p>
        </w:tc>
        <w:tc>
          <w:tcPr>
            <w:tcW w:w="2381" w:type="dxa"/>
            <w:noWrap w:val="0"/>
            <w:vAlign w:val="center"/>
          </w:tcPr>
          <w:p>
            <w:pPr>
              <w:jc w:val="center"/>
              <w:rPr>
                <w:rFonts w:hint="eastAsia" w:ascii="楷体" w:hAnsi="楷体" w:eastAsia="楷体"/>
                <w:szCs w:val="21"/>
                <w:highlight w:val="none"/>
                <w:lang w:val="en-US" w:eastAsia="zh-CN"/>
              </w:rPr>
            </w:pPr>
            <w:r>
              <w:rPr>
                <w:rFonts w:hint="eastAsia" w:ascii="楷体" w:hAnsi="Times New Roman" w:eastAsia="楷体" w:cs="楷体"/>
                <w:color w:val="000000"/>
                <w:kern w:val="0"/>
                <w:szCs w:val="21"/>
                <w:highlight w:val="none"/>
                <w:lang w:val="en-US" w:eastAsia="zh-CN"/>
              </w:rPr>
              <w:t>2024年3月15日</w:t>
            </w:r>
            <w:r>
              <w:rPr>
                <w:rFonts w:hint="eastAsia" w:ascii="楷体" w:hAnsi="楷体" w:eastAsia="楷体"/>
                <w:szCs w:val="21"/>
                <w:highlight w:val="none"/>
                <w:lang w:val="en-US" w:eastAsia="zh-CN"/>
              </w:rPr>
              <w:t>9:00</w:t>
            </w:r>
          </w:p>
          <w:p>
            <w:pPr>
              <w:jc w:val="center"/>
              <w:rPr>
                <w:rFonts w:hint="eastAsia" w:ascii="楷体" w:hAnsi="楷体" w:eastAsia="楷体"/>
                <w:szCs w:val="21"/>
                <w:highlight w:val="none"/>
                <w:lang w:val="en-US" w:eastAsia="zh-CN"/>
              </w:rPr>
            </w:pPr>
            <w:r>
              <w:rPr>
                <w:rFonts w:hint="eastAsia" w:ascii="楷体" w:hAnsi="楷体" w:eastAsia="楷体"/>
                <w:szCs w:val="21"/>
                <w:highlight w:val="none"/>
                <w:lang w:val="en-US" w:eastAsia="zh-CN"/>
              </w:rPr>
              <w:t>至</w:t>
            </w:r>
          </w:p>
          <w:p>
            <w:pPr>
              <w:jc w:val="center"/>
              <w:rPr>
                <w:rFonts w:hint="eastAsia" w:ascii="楷体" w:hAnsi="Times New Roman" w:eastAsia="楷体" w:cs="楷体"/>
                <w:color w:val="000000"/>
                <w:kern w:val="0"/>
                <w:sz w:val="21"/>
                <w:szCs w:val="21"/>
                <w:highlight w:val="none"/>
                <w:lang w:val="en-US" w:eastAsia="zh-CN" w:bidi="ar-SA"/>
              </w:rPr>
            </w:pPr>
            <w:r>
              <w:rPr>
                <w:rFonts w:hint="eastAsia" w:ascii="楷体" w:hAnsi="Times New Roman" w:eastAsia="楷体" w:cs="楷体"/>
                <w:color w:val="000000"/>
                <w:kern w:val="0"/>
                <w:szCs w:val="21"/>
                <w:highlight w:val="none"/>
                <w:lang w:val="en-US" w:eastAsia="zh-CN"/>
              </w:rPr>
              <w:t>2024年3月21日</w:t>
            </w:r>
            <w:r>
              <w:rPr>
                <w:rFonts w:ascii="楷体" w:hAnsi="Times New Roman" w:eastAsia="楷体" w:cs="楷体"/>
                <w:color w:val="000000"/>
                <w:kern w:val="0"/>
                <w:szCs w:val="21"/>
                <w:highlight w:val="none"/>
              </w:rPr>
              <w:t>17:00</w:t>
            </w:r>
          </w:p>
        </w:tc>
        <w:tc>
          <w:tcPr>
            <w:tcW w:w="1871" w:type="dxa"/>
            <w:noWrap w:val="0"/>
            <w:vAlign w:val="center"/>
          </w:tcPr>
          <w:p>
            <w:pPr>
              <w:jc w:val="center"/>
              <w:rPr>
                <w:rFonts w:hint="eastAsia" w:ascii="楷体" w:hAnsi="Times New Roman" w:eastAsia="楷体" w:cs="楷体"/>
                <w:color w:val="000000"/>
                <w:kern w:val="0"/>
                <w:sz w:val="21"/>
                <w:szCs w:val="21"/>
                <w:highlight w:val="none"/>
                <w:lang w:val="en-US" w:eastAsia="zh-CN" w:bidi="ar-SA"/>
              </w:rPr>
            </w:pPr>
            <w:r>
              <w:rPr>
                <w:rFonts w:hint="eastAsia" w:ascii="楷体" w:hAnsi="Times New Roman" w:eastAsia="楷体" w:cs="楷体"/>
                <w:color w:val="000000"/>
                <w:kern w:val="0"/>
                <w:szCs w:val="21"/>
                <w:highlight w:val="none"/>
                <w:lang w:val="en-US" w:eastAsia="zh-CN"/>
              </w:rPr>
              <w:t>2024年3月22日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default" w:ascii="楷体" w:hAnsi="楷体" w:eastAsia="楷体"/>
                <w:szCs w:val="21"/>
                <w:highlight w:val="none"/>
                <w:lang w:val="en-US" w:eastAsia="zh-CN"/>
              </w:rPr>
            </w:pPr>
            <w:r>
              <w:rPr>
                <w:rFonts w:hint="eastAsia" w:ascii="楷体" w:hAnsi="楷体" w:eastAsia="楷体"/>
                <w:szCs w:val="21"/>
                <w:highlight w:val="none"/>
                <w:lang w:val="en-US" w:eastAsia="zh-CN"/>
              </w:rPr>
              <w:t>8</w:t>
            </w:r>
          </w:p>
        </w:tc>
        <w:tc>
          <w:tcPr>
            <w:tcW w:w="1871" w:type="dxa"/>
            <w:noWrap w:val="0"/>
            <w:vAlign w:val="center"/>
          </w:tcPr>
          <w:p>
            <w:pPr>
              <w:jc w:val="center"/>
              <w:rPr>
                <w:rFonts w:hint="eastAsia" w:ascii="楷体" w:hAnsi="Times New Roman" w:eastAsia="楷体" w:cs="楷体"/>
                <w:color w:val="000000"/>
                <w:kern w:val="0"/>
                <w:sz w:val="21"/>
                <w:szCs w:val="21"/>
                <w:highlight w:val="none"/>
                <w:lang w:val="en-US" w:eastAsia="zh-CN" w:bidi="ar-SA"/>
              </w:rPr>
            </w:pPr>
            <w:r>
              <w:rPr>
                <w:rFonts w:hint="eastAsia" w:ascii="楷体" w:hAnsi="Times New Roman" w:eastAsia="楷体" w:cs="楷体"/>
                <w:color w:val="000000"/>
                <w:kern w:val="0"/>
                <w:szCs w:val="21"/>
                <w:highlight w:val="none"/>
                <w:lang w:val="en-US" w:eastAsia="zh-CN"/>
              </w:rPr>
              <w:t>2024年3月22日</w:t>
            </w:r>
          </w:p>
        </w:tc>
        <w:tc>
          <w:tcPr>
            <w:tcW w:w="1871" w:type="dxa"/>
            <w:noWrap w:val="0"/>
            <w:vAlign w:val="center"/>
          </w:tcPr>
          <w:p>
            <w:pPr>
              <w:jc w:val="center"/>
              <w:rPr>
                <w:rFonts w:hint="default" w:ascii="楷体" w:hAnsi="Times New Roman" w:eastAsia="楷体" w:cs="楷体"/>
                <w:color w:val="000000"/>
                <w:kern w:val="0"/>
                <w:szCs w:val="21"/>
                <w:highlight w:val="none"/>
                <w:lang w:val="en-US" w:eastAsia="zh-CN"/>
              </w:rPr>
            </w:pPr>
            <w:r>
              <w:rPr>
                <w:rFonts w:hint="eastAsia" w:ascii="楷体" w:hAnsi="Times New Roman" w:eastAsia="楷体" w:cs="楷体"/>
                <w:color w:val="000000"/>
                <w:kern w:val="0"/>
                <w:szCs w:val="21"/>
                <w:highlight w:val="none"/>
                <w:lang w:val="en-US" w:eastAsia="zh-CN"/>
              </w:rPr>
              <w:t>2024年7月2日</w:t>
            </w:r>
          </w:p>
        </w:tc>
        <w:tc>
          <w:tcPr>
            <w:tcW w:w="2381" w:type="dxa"/>
            <w:noWrap w:val="0"/>
            <w:vAlign w:val="center"/>
          </w:tcPr>
          <w:p>
            <w:pPr>
              <w:jc w:val="center"/>
              <w:rPr>
                <w:rFonts w:hint="eastAsia" w:ascii="楷体" w:hAnsi="楷体" w:eastAsia="楷体"/>
                <w:szCs w:val="21"/>
                <w:highlight w:val="none"/>
                <w:lang w:val="en-US" w:eastAsia="zh-CN"/>
              </w:rPr>
            </w:pPr>
            <w:r>
              <w:rPr>
                <w:rFonts w:hint="eastAsia" w:ascii="楷体" w:hAnsi="Times New Roman" w:eastAsia="楷体" w:cs="楷体"/>
                <w:color w:val="000000"/>
                <w:kern w:val="0"/>
                <w:szCs w:val="21"/>
                <w:highlight w:val="none"/>
                <w:lang w:val="en-US" w:eastAsia="zh-CN"/>
              </w:rPr>
              <w:t>2024年6月24日</w:t>
            </w:r>
            <w:r>
              <w:rPr>
                <w:rFonts w:hint="eastAsia" w:ascii="楷体" w:hAnsi="楷体" w:eastAsia="楷体"/>
                <w:szCs w:val="21"/>
                <w:highlight w:val="none"/>
                <w:lang w:val="en-US" w:eastAsia="zh-CN"/>
              </w:rPr>
              <w:t>9:00</w:t>
            </w:r>
          </w:p>
          <w:p>
            <w:pPr>
              <w:jc w:val="center"/>
              <w:rPr>
                <w:rFonts w:hint="eastAsia" w:ascii="楷体" w:hAnsi="楷体" w:eastAsia="楷体"/>
                <w:szCs w:val="21"/>
                <w:highlight w:val="none"/>
                <w:lang w:val="en-US" w:eastAsia="zh-CN"/>
              </w:rPr>
            </w:pPr>
            <w:r>
              <w:rPr>
                <w:rFonts w:hint="eastAsia" w:ascii="楷体" w:hAnsi="楷体" w:eastAsia="楷体"/>
                <w:szCs w:val="21"/>
                <w:highlight w:val="none"/>
                <w:lang w:val="en-US" w:eastAsia="zh-CN"/>
              </w:rPr>
              <w:t>至</w:t>
            </w:r>
          </w:p>
          <w:p>
            <w:pPr>
              <w:jc w:val="center"/>
              <w:rPr>
                <w:rFonts w:hint="default" w:ascii="楷体" w:hAnsi="Times New Roman" w:eastAsia="楷体" w:cs="楷体"/>
                <w:color w:val="000000"/>
                <w:kern w:val="0"/>
                <w:szCs w:val="21"/>
                <w:highlight w:val="none"/>
                <w:lang w:val="en-US" w:eastAsia="zh-CN"/>
              </w:rPr>
            </w:pPr>
            <w:r>
              <w:rPr>
                <w:rFonts w:hint="eastAsia" w:ascii="楷体" w:hAnsi="Times New Roman" w:eastAsia="楷体" w:cs="楷体"/>
                <w:color w:val="000000"/>
                <w:kern w:val="0"/>
                <w:szCs w:val="21"/>
                <w:highlight w:val="none"/>
                <w:lang w:val="en-US" w:eastAsia="zh-CN"/>
              </w:rPr>
              <w:t>2024年7月2日</w:t>
            </w:r>
            <w:r>
              <w:rPr>
                <w:rFonts w:ascii="楷体" w:hAnsi="Times New Roman" w:eastAsia="楷体" w:cs="楷体"/>
                <w:color w:val="000000"/>
                <w:kern w:val="0"/>
                <w:szCs w:val="21"/>
                <w:highlight w:val="none"/>
              </w:rPr>
              <w:t>17:00</w:t>
            </w:r>
          </w:p>
        </w:tc>
        <w:tc>
          <w:tcPr>
            <w:tcW w:w="1871" w:type="dxa"/>
            <w:noWrap w:val="0"/>
            <w:vAlign w:val="center"/>
          </w:tcPr>
          <w:p>
            <w:pPr>
              <w:jc w:val="center"/>
              <w:rPr>
                <w:rFonts w:hint="default" w:ascii="楷体" w:hAnsi="Times New Roman" w:eastAsia="楷体" w:cs="楷体"/>
                <w:color w:val="000000"/>
                <w:kern w:val="0"/>
                <w:szCs w:val="21"/>
                <w:highlight w:val="none"/>
                <w:lang w:val="en-US" w:eastAsia="zh-CN"/>
              </w:rPr>
            </w:pPr>
            <w:r>
              <w:rPr>
                <w:rFonts w:hint="eastAsia" w:ascii="楷体" w:hAnsi="Times New Roman" w:eastAsia="楷体" w:cs="楷体"/>
                <w:color w:val="000000"/>
                <w:kern w:val="0"/>
                <w:szCs w:val="21"/>
                <w:highlight w:val="none"/>
                <w:lang w:val="en-US" w:eastAsia="zh-CN"/>
              </w:rPr>
              <w:t>2024年7月3日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default" w:ascii="楷体" w:hAnsi="楷体" w:eastAsia="楷体"/>
                <w:szCs w:val="21"/>
                <w:highlight w:val="none"/>
                <w:lang w:val="en-US" w:eastAsia="zh-CN"/>
              </w:rPr>
            </w:pPr>
            <w:r>
              <w:rPr>
                <w:rFonts w:hint="eastAsia" w:ascii="楷体" w:hAnsi="楷体" w:eastAsia="楷体"/>
                <w:szCs w:val="21"/>
                <w:highlight w:val="none"/>
                <w:lang w:val="en-US" w:eastAsia="zh-CN"/>
              </w:rPr>
              <w:t>9</w:t>
            </w:r>
          </w:p>
        </w:tc>
        <w:tc>
          <w:tcPr>
            <w:tcW w:w="1871" w:type="dxa"/>
            <w:noWrap w:val="0"/>
            <w:vAlign w:val="center"/>
          </w:tcPr>
          <w:p>
            <w:pPr>
              <w:jc w:val="center"/>
              <w:rPr>
                <w:rFonts w:hint="eastAsia" w:ascii="楷体" w:hAnsi="Times New Roman" w:eastAsia="楷体" w:cs="楷体"/>
                <w:color w:val="000000"/>
                <w:kern w:val="0"/>
                <w:szCs w:val="21"/>
                <w:highlight w:val="none"/>
                <w:lang w:val="en-US" w:eastAsia="zh-CN"/>
              </w:rPr>
            </w:pPr>
            <w:r>
              <w:rPr>
                <w:rFonts w:hint="eastAsia" w:ascii="楷体" w:hAnsi="Times New Roman" w:eastAsia="楷体" w:cs="楷体"/>
                <w:color w:val="000000"/>
                <w:kern w:val="0"/>
                <w:szCs w:val="21"/>
                <w:highlight w:val="none"/>
                <w:lang w:val="en-US" w:eastAsia="zh-CN"/>
              </w:rPr>
              <w:t>2024年7月3日</w:t>
            </w:r>
          </w:p>
        </w:tc>
        <w:tc>
          <w:tcPr>
            <w:tcW w:w="1871" w:type="dxa"/>
            <w:noWrap w:val="0"/>
            <w:vAlign w:val="center"/>
          </w:tcPr>
          <w:p>
            <w:pPr>
              <w:jc w:val="center"/>
              <w:rPr>
                <w:rFonts w:hint="default" w:ascii="楷体" w:hAnsi="Times New Roman" w:eastAsia="楷体" w:cs="楷体"/>
                <w:color w:val="000000"/>
                <w:kern w:val="0"/>
                <w:szCs w:val="21"/>
                <w:highlight w:val="none"/>
                <w:lang w:val="en-US" w:eastAsia="zh-CN"/>
              </w:rPr>
            </w:pPr>
            <w:r>
              <w:rPr>
                <w:rFonts w:hint="eastAsia" w:ascii="楷体" w:hAnsi="Times New Roman" w:eastAsia="楷体" w:cs="楷体"/>
                <w:color w:val="000000"/>
                <w:kern w:val="0"/>
                <w:szCs w:val="21"/>
                <w:highlight w:val="none"/>
                <w:lang w:val="en-US" w:eastAsia="zh-CN"/>
              </w:rPr>
              <w:t>2024年10月9日</w:t>
            </w:r>
          </w:p>
        </w:tc>
        <w:tc>
          <w:tcPr>
            <w:tcW w:w="2381" w:type="dxa"/>
            <w:noWrap w:val="0"/>
            <w:vAlign w:val="center"/>
          </w:tcPr>
          <w:p>
            <w:pPr>
              <w:jc w:val="center"/>
              <w:rPr>
                <w:rFonts w:hint="eastAsia" w:ascii="楷体" w:hAnsi="楷体" w:eastAsia="楷体"/>
                <w:szCs w:val="21"/>
                <w:highlight w:val="none"/>
                <w:lang w:val="en-US" w:eastAsia="zh-CN"/>
              </w:rPr>
            </w:pPr>
            <w:r>
              <w:rPr>
                <w:rFonts w:hint="eastAsia" w:ascii="楷体" w:hAnsi="Times New Roman" w:eastAsia="楷体" w:cs="楷体"/>
                <w:color w:val="000000"/>
                <w:kern w:val="0"/>
                <w:szCs w:val="21"/>
                <w:highlight w:val="none"/>
                <w:lang w:val="en-US" w:eastAsia="zh-CN"/>
              </w:rPr>
              <w:t>2024年9月25日</w:t>
            </w:r>
            <w:r>
              <w:rPr>
                <w:rFonts w:hint="eastAsia" w:ascii="楷体" w:hAnsi="楷体" w:eastAsia="楷体"/>
                <w:szCs w:val="21"/>
                <w:highlight w:val="none"/>
                <w:lang w:val="en-US" w:eastAsia="zh-CN"/>
              </w:rPr>
              <w:t>9:00</w:t>
            </w:r>
          </w:p>
          <w:p>
            <w:pPr>
              <w:jc w:val="center"/>
              <w:rPr>
                <w:rFonts w:hint="eastAsia" w:ascii="楷体" w:hAnsi="楷体" w:eastAsia="楷体"/>
                <w:szCs w:val="21"/>
                <w:highlight w:val="none"/>
                <w:lang w:val="en-US" w:eastAsia="zh-CN"/>
              </w:rPr>
            </w:pPr>
            <w:r>
              <w:rPr>
                <w:rFonts w:hint="eastAsia" w:ascii="楷体" w:hAnsi="楷体" w:eastAsia="楷体"/>
                <w:szCs w:val="21"/>
                <w:highlight w:val="none"/>
                <w:lang w:val="en-US" w:eastAsia="zh-CN"/>
              </w:rPr>
              <w:t>至</w:t>
            </w:r>
          </w:p>
          <w:p>
            <w:pPr>
              <w:jc w:val="center"/>
              <w:rPr>
                <w:rFonts w:hint="default" w:ascii="楷体" w:hAnsi="Times New Roman" w:eastAsia="楷体" w:cs="楷体"/>
                <w:color w:val="000000"/>
                <w:kern w:val="0"/>
                <w:szCs w:val="21"/>
                <w:highlight w:val="none"/>
                <w:lang w:val="en-US" w:eastAsia="zh-CN"/>
              </w:rPr>
            </w:pPr>
            <w:r>
              <w:rPr>
                <w:rFonts w:hint="eastAsia" w:ascii="楷体" w:hAnsi="Times New Roman" w:eastAsia="楷体" w:cs="楷体"/>
                <w:color w:val="000000"/>
                <w:kern w:val="0"/>
                <w:szCs w:val="21"/>
                <w:highlight w:val="none"/>
                <w:lang w:val="en-US" w:eastAsia="zh-CN"/>
              </w:rPr>
              <w:t>2024年10月9日</w:t>
            </w:r>
            <w:r>
              <w:rPr>
                <w:rFonts w:ascii="楷体" w:hAnsi="Times New Roman" w:eastAsia="楷体" w:cs="楷体"/>
                <w:color w:val="000000"/>
                <w:kern w:val="0"/>
                <w:szCs w:val="21"/>
                <w:highlight w:val="none"/>
              </w:rPr>
              <w:t>17:00</w:t>
            </w:r>
          </w:p>
        </w:tc>
        <w:tc>
          <w:tcPr>
            <w:tcW w:w="1871" w:type="dxa"/>
            <w:noWrap w:val="0"/>
            <w:vAlign w:val="center"/>
          </w:tcPr>
          <w:p>
            <w:pPr>
              <w:jc w:val="center"/>
              <w:rPr>
                <w:rFonts w:hint="default" w:ascii="楷体" w:hAnsi="Times New Roman" w:eastAsia="楷体" w:cs="楷体"/>
                <w:color w:val="000000"/>
                <w:kern w:val="0"/>
                <w:szCs w:val="21"/>
                <w:highlight w:val="none"/>
                <w:lang w:val="en-US" w:eastAsia="zh-CN"/>
              </w:rPr>
            </w:pPr>
            <w:r>
              <w:rPr>
                <w:rFonts w:hint="eastAsia" w:ascii="楷体" w:hAnsi="Times New Roman" w:eastAsia="楷体" w:cs="楷体"/>
                <w:color w:val="000000"/>
                <w:kern w:val="0"/>
                <w:szCs w:val="21"/>
                <w:highlight w:val="none"/>
                <w:lang w:val="en-US" w:eastAsia="zh-CN"/>
              </w:rPr>
              <w:t>2024年10月10日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680" w:type="dxa"/>
            <w:noWrap w:val="0"/>
            <w:vAlign w:val="center"/>
          </w:tcPr>
          <w:p>
            <w:pPr>
              <w:jc w:val="center"/>
              <w:rPr>
                <w:rFonts w:hint="eastAsia" w:ascii="楷体" w:hAnsi="楷体" w:eastAsia="楷体"/>
                <w:kern w:val="2"/>
                <w:sz w:val="21"/>
                <w:szCs w:val="21"/>
                <w:lang w:val="en-US" w:eastAsia="zh-CN" w:bidi="ar-SA"/>
              </w:rPr>
            </w:pPr>
            <w:r>
              <w:rPr>
                <w:rFonts w:hint="eastAsia" w:ascii="楷体" w:hAnsi="楷体" w:eastAsia="楷体"/>
                <w:szCs w:val="21"/>
                <w:lang w:val="en-US" w:eastAsia="zh-CN"/>
              </w:rPr>
              <w:t>10</w:t>
            </w:r>
          </w:p>
        </w:tc>
        <w:tc>
          <w:tcPr>
            <w:tcW w:w="1871" w:type="dxa"/>
            <w:noWrap w:val="0"/>
            <w:vAlign w:val="center"/>
          </w:tcPr>
          <w:p>
            <w:pPr>
              <w:jc w:val="center"/>
              <w:rPr>
                <w:rFonts w:hint="eastAsia" w:ascii="楷体" w:hAnsi="楷体" w:eastAsia="楷体"/>
                <w:kern w:val="2"/>
                <w:sz w:val="21"/>
                <w:szCs w:val="21"/>
                <w:lang w:val="en-US" w:eastAsia="zh-CN" w:bidi="ar-SA"/>
              </w:rPr>
            </w:pPr>
            <w:r>
              <w:rPr>
                <w:rFonts w:hint="eastAsia" w:ascii="楷体" w:hAnsi="Times New Roman" w:eastAsia="楷体" w:cs="楷体"/>
                <w:color w:val="000000"/>
                <w:kern w:val="0"/>
                <w:szCs w:val="21"/>
                <w:highlight w:val="none"/>
                <w:lang w:val="en-US" w:eastAsia="zh-CN"/>
              </w:rPr>
              <w:t>2024年10月10日</w:t>
            </w:r>
          </w:p>
        </w:tc>
        <w:tc>
          <w:tcPr>
            <w:tcW w:w="1871" w:type="dxa"/>
            <w:noWrap w:val="0"/>
            <w:vAlign w:val="center"/>
          </w:tcPr>
          <w:p>
            <w:pPr>
              <w:jc w:val="center"/>
              <w:rPr>
                <w:rFonts w:hint="eastAsia" w:ascii="楷体" w:hAnsi="楷体" w:eastAsia="楷体"/>
                <w:kern w:val="2"/>
                <w:sz w:val="21"/>
                <w:szCs w:val="21"/>
                <w:lang w:val="en-US" w:eastAsia="zh-CN" w:bidi="ar-SA"/>
              </w:rPr>
            </w:pPr>
            <w:r>
              <w:rPr>
                <w:rFonts w:hint="eastAsia" w:ascii="楷体" w:hAnsi="楷体" w:eastAsia="楷体"/>
                <w:sz w:val="21"/>
                <w:szCs w:val="21"/>
                <w:lang w:val="en-US" w:eastAsia="zh-CN"/>
              </w:rPr>
              <w:t>2025年1月14日</w:t>
            </w:r>
          </w:p>
        </w:tc>
        <w:tc>
          <w:tcPr>
            <w:tcW w:w="2381" w:type="dxa"/>
            <w:noWrap w:val="0"/>
            <w:vAlign w:val="center"/>
          </w:tcPr>
          <w:p>
            <w:pPr>
              <w:jc w:val="center"/>
              <w:rPr>
                <w:rFonts w:ascii="楷体" w:hAnsi="楷体" w:eastAsia="楷体"/>
                <w:szCs w:val="21"/>
              </w:rPr>
            </w:pPr>
            <w:r>
              <w:rPr>
                <w:rFonts w:hint="eastAsia" w:ascii="楷体" w:hAnsi="楷体" w:eastAsia="楷体"/>
                <w:sz w:val="21"/>
                <w:szCs w:val="21"/>
                <w:lang w:val="en-US" w:eastAsia="zh-CN"/>
              </w:rPr>
              <w:t>2025年1月6</w:t>
            </w:r>
            <w:r>
              <w:rPr>
                <w:rFonts w:hint="eastAsia" w:ascii="楷体" w:hAnsi="楷体" w:eastAsia="楷体"/>
                <w:szCs w:val="21"/>
                <w:lang w:eastAsia="zh-CN"/>
              </w:rPr>
              <w:t>日</w:t>
            </w:r>
            <w:r>
              <w:rPr>
                <w:rFonts w:hint="eastAsia" w:ascii="楷体" w:hAnsi="楷体" w:eastAsia="楷体"/>
                <w:szCs w:val="21"/>
              </w:rPr>
              <w:t>9:00</w:t>
            </w:r>
          </w:p>
          <w:p>
            <w:pPr>
              <w:jc w:val="center"/>
              <w:rPr>
                <w:rFonts w:ascii="楷体" w:hAnsi="楷体" w:eastAsia="楷体"/>
                <w:szCs w:val="21"/>
              </w:rPr>
            </w:pPr>
            <w:r>
              <w:rPr>
                <w:rFonts w:hint="eastAsia" w:ascii="楷体" w:hAnsi="楷体" w:eastAsia="楷体"/>
                <w:szCs w:val="21"/>
              </w:rPr>
              <w:t>至</w:t>
            </w:r>
          </w:p>
          <w:p>
            <w:pPr>
              <w:jc w:val="left"/>
              <w:rPr>
                <w:rFonts w:hint="eastAsia" w:ascii="楷体" w:hAnsi="Times New Roman" w:eastAsia="楷体" w:cs="楷体"/>
                <w:color w:val="000000"/>
                <w:kern w:val="0"/>
                <w:sz w:val="21"/>
                <w:szCs w:val="21"/>
                <w:lang w:val="en-US" w:eastAsia="zh-CN" w:bidi="ar-SA"/>
              </w:rPr>
            </w:pPr>
            <w:r>
              <w:rPr>
                <w:rFonts w:hint="eastAsia" w:ascii="楷体" w:hAnsi="楷体" w:eastAsia="楷体"/>
                <w:sz w:val="21"/>
                <w:szCs w:val="21"/>
                <w:lang w:val="en-US" w:eastAsia="zh-CN"/>
              </w:rPr>
              <w:t>2025年1月14</w:t>
            </w:r>
            <w:r>
              <w:rPr>
                <w:rFonts w:hint="eastAsia" w:ascii="楷体" w:hAnsi="楷体" w:eastAsia="楷体"/>
                <w:szCs w:val="21"/>
                <w:lang w:eastAsia="zh-CN"/>
              </w:rPr>
              <w:t>日</w:t>
            </w:r>
            <w:r>
              <w:rPr>
                <w:rFonts w:hint="eastAsia" w:ascii="楷体" w:hAnsi="楷体" w:eastAsia="楷体"/>
                <w:szCs w:val="21"/>
              </w:rPr>
              <w:t>17:00</w:t>
            </w:r>
          </w:p>
        </w:tc>
        <w:tc>
          <w:tcPr>
            <w:tcW w:w="1871" w:type="dxa"/>
            <w:noWrap w:val="0"/>
            <w:vAlign w:val="center"/>
          </w:tcPr>
          <w:p>
            <w:pPr>
              <w:jc w:val="center"/>
              <w:rPr>
                <w:rFonts w:hint="eastAsia" w:ascii="楷体" w:hAnsi="Times New Roman" w:eastAsia="楷体" w:cs="楷体"/>
                <w:color w:val="000000"/>
                <w:kern w:val="0"/>
                <w:sz w:val="21"/>
                <w:szCs w:val="21"/>
                <w:lang w:val="en-US" w:eastAsia="zh-CN" w:bidi="ar-SA"/>
              </w:rPr>
            </w:pPr>
            <w:r>
              <w:rPr>
                <w:rFonts w:hint="eastAsia" w:ascii="楷体" w:hAnsi="楷体" w:eastAsia="楷体"/>
                <w:sz w:val="21"/>
                <w:szCs w:val="21"/>
                <w:lang w:val="en-US" w:eastAsia="zh-CN"/>
              </w:rPr>
              <w:t>2025年1月15日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680" w:type="dxa"/>
            <w:noWrap w:val="0"/>
            <w:vAlign w:val="center"/>
          </w:tcPr>
          <w:p>
            <w:pPr>
              <w:jc w:val="center"/>
              <w:rPr>
                <w:rFonts w:hint="eastAsia" w:ascii="楷体" w:hAnsi="楷体" w:eastAsia="楷体"/>
                <w:kern w:val="2"/>
                <w:sz w:val="21"/>
                <w:szCs w:val="21"/>
                <w:highlight w:val="none"/>
                <w:lang w:val="en-US" w:eastAsia="zh-CN" w:bidi="ar-SA"/>
              </w:rPr>
            </w:pPr>
            <w:r>
              <w:rPr>
                <w:rFonts w:hint="eastAsia" w:ascii="楷体" w:hAnsi="楷体" w:eastAsia="楷体"/>
                <w:szCs w:val="21"/>
                <w:highlight w:val="none"/>
                <w:lang w:val="en-US" w:eastAsia="zh-CN"/>
              </w:rPr>
              <w:t>11</w:t>
            </w:r>
          </w:p>
        </w:tc>
        <w:tc>
          <w:tcPr>
            <w:tcW w:w="1871" w:type="dxa"/>
            <w:noWrap w:val="0"/>
            <w:vAlign w:val="center"/>
          </w:tcPr>
          <w:p>
            <w:pPr>
              <w:jc w:val="center"/>
              <w:rPr>
                <w:rFonts w:hint="eastAsia" w:ascii="楷体" w:hAnsi="Times New Roman" w:eastAsia="楷体" w:cs="楷体"/>
                <w:color w:val="000000"/>
                <w:kern w:val="0"/>
                <w:sz w:val="21"/>
                <w:szCs w:val="21"/>
                <w:highlight w:val="none"/>
                <w:lang w:val="en-US" w:eastAsia="zh-CN" w:bidi="ar-SA"/>
              </w:rPr>
            </w:pPr>
            <w:r>
              <w:rPr>
                <w:rFonts w:hint="eastAsia" w:ascii="楷体" w:hAnsi="楷体" w:eastAsia="楷体"/>
                <w:sz w:val="21"/>
                <w:szCs w:val="21"/>
                <w:lang w:val="en-US" w:eastAsia="zh-CN"/>
              </w:rPr>
              <w:t>2025年1月15日</w:t>
            </w:r>
          </w:p>
        </w:tc>
        <w:tc>
          <w:tcPr>
            <w:tcW w:w="1871"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2025年4月23日</w:t>
            </w:r>
          </w:p>
        </w:tc>
        <w:tc>
          <w:tcPr>
            <w:tcW w:w="2381" w:type="dxa"/>
            <w:noWrap w:val="0"/>
            <w:vAlign w:val="center"/>
          </w:tcPr>
          <w:p>
            <w:pPr>
              <w:jc w:val="center"/>
              <w:rPr>
                <w:rFonts w:ascii="楷体" w:hAnsi="楷体" w:eastAsia="楷体"/>
                <w:szCs w:val="21"/>
              </w:rPr>
            </w:pPr>
            <w:r>
              <w:rPr>
                <w:rFonts w:hint="eastAsia" w:ascii="楷体" w:hAnsi="楷体" w:eastAsia="楷体"/>
                <w:sz w:val="21"/>
                <w:szCs w:val="21"/>
                <w:lang w:val="en-US" w:eastAsia="zh-CN"/>
              </w:rPr>
              <w:t>2025年4月15</w:t>
            </w:r>
            <w:r>
              <w:rPr>
                <w:rFonts w:hint="eastAsia" w:ascii="楷体" w:hAnsi="楷体" w:eastAsia="楷体"/>
                <w:szCs w:val="21"/>
                <w:lang w:eastAsia="zh-CN"/>
              </w:rPr>
              <w:t>日</w:t>
            </w:r>
            <w:r>
              <w:rPr>
                <w:rFonts w:hint="eastAsia" w:ascii="楷体" w:hAnsi="楷体" w:eastAsia="楷体"/>
                <w:szCs w:val="21"/>
              </w:rPr>
              <w:t>9:00</w:t>
            </w:r>
          </w:p>
          <w:p>
            <w:pPr>
              <w:jc w:val="center"/>
              <w:rPr>
                <w:rFonts w:ascii="楷体" w:hAnsi="楷体" w:eastAsia="楷体"/>
                <w:szCs w:val="21"/>
              </w:rPr>
            </w:pPr>
            <w:r>
              <w:rPr>
                <w:rFonts w:hint="eastAsia" w:ascii="楷体" w:hAnsi="楷体" w:eastAsia="楷体"/>
                <w:szCs w:val="21"/>
              </w:rPr>
              <w:t>至</w:t>
            </w:r>
          </w:p>
          <w:p>
            <w:pPr>
              <w:jc w:val="left"/>
              <w:rPr>
                <w:rFonts w:hint="eastAsia" w:ascii="楷体" w:hAnsi="Times New Roman" w:eastAsia="楷体" w:cs="楷体"/>
                <w:color w:val="000000"/>
                <w:kern w:val="0"/>
                <w:szCs w:val="21"/>
                <w:lang w:val="en-US" w:eastAsia="zh-CN"/>
              </w:rPr>
            </w:pPr>
            <w:r>
              <w:rPr>
                <w:rFonts w:hint="eastAsia" w:ascii="楷体" w:hAnsi="楷体" w:eastAsia="楷体"/>
                <w:sz w:val="21"/>
                <w:szCs w:val="21"/>
                <w:lang w:val="en-US" w:eastAsia="zh-CN"/>
              </w:rPr>
              <w:t>2025年4月23</w:t>
            </w:r>
            <w:r>
              <w:rPr>
                <w:rFonts w:hint="eastAsia" w:ascii="楷体" w:hAnsi="楷体" w:eastAsia="楷体"/>
                <w:szCs w:val="21"/>
                <w:lang w:eastAsia="zh-CN"/>
              </w:rPr>
              <w:t>日</w:t>
            </w:r>
            <w:r>
              <w:rPr>
                <w:rFonts w:hint="eastAsia" w:ascii="楷体" w:hAnsi="楷体" w:eastAsia="楷体"/>
                <w:szCs w:val="21"/>
              </w:rPr>
              <w:t>17:00</w:t>
            </w:r>
          </w:p>
        </w:tc>
        <w:tc>
          <w:tcPr>
            <w:tcW w:w="1871"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2025年4月24日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680" w:type="dxa"/>
            <w:noWrap w:val="0"/>
            <w:vAlign w:val="center"/>
          </w:tcPr>
          <w:p>
            <w:pPr>
              <w:jc w:val="center"/>
              <w:rPr>
                <w:rFonts w:hint="eastAsia" w:ascii="楷体" w:hAnsi="楷体" w:eastAsia="楷体"/>
                <w:kern w:val="2"/>
                <w:sz w:val="21"/>
                <w:szCs w:val="21"/>
                <w:highlight w:val="none"/>
                <w:lang w:val="en-US" w:eastAsia="zh-CN" w:bidi="ar-SA"/>
              </w:rPr>
            </w:pPr>
            <w:r>
              <w:rPr>
                <w:rFonts w:hint="eastAsia" w:ascii="楷体" w:hAnsi="楷体" w:eastAsia="楷体"/>
                <w:szCs w:val="21"/>
                <w:highlight w:val="none"/>
                <w:lang w:val="en-US" w:eastAsia="zh-CN"/>
              </w:rPr>
              <w:t>12</w:t>
            </w:r>
          </w:p>
        </w:tc>
        <w:tc>
          <w:tcPr>
            <w:tcW w:w="1871" w:type="dxa"/>
            <w:noWrap w:val="0"/>
            <w:vAlign w:val="center"/>
          </w:tcPr>
          <w:p>
            <w:pPr>
              <w:jc w:val="center"/>
              <w:rPr>
                <w:rFonts w:hint="eastAsia" w:ascii="楷体" w:hAnsi="Times New Roman" w:eastAsia="楷体" w:cs="楷体"/>
                <w:color w:val="000000"/>
                <w:kern w:val="0"/>
                <w:sz w:val="21"/>
                <w:szCs w:val="21"/>
                <w:highlight w:val="none"/>
                <w:lang w:val="en-US" w:eastAsia="zh-CN" w:bidi="ar-SA"/>
              </w:rPr>
            </w:pPr>
            <w:r>
              <w:rPr>
                <w:rFonts w:hint="eastAsia" w:ascii="楷体" w:hAnsi="楷体" w:eastAsia="楷体"/>
                <w:sz w:val="21"/>
                <w:szCs w:val="21"/>
                <w:lang w:val="en-US" w:eastAsia="zh-CN"/>
              </w:rPr>
              <w:t>2025年4月24日</w:t>
            </w:r>
          </w:p>
        </w:tc>
        <w:tc>
          <w:tcPr>
            <w:tcW w:w="1871"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2025年7月30日</w:t>
            </w:r>
          </w:p>
        </w:tc>
        <w:tc>
          <w:tcPr>
            <w:tcW w:w="2381" w:type="dxa"/>
            <w:noWrap w:val="0"/>
            <w:vAlign w:val="center"/>
          </w:tcPr>
          <w:p>
            <w:pPr>
              <w:jc w:val="center"/>
              <w:rPr>
                <w:rFonts w:ascii="楷体" w:hAnsi="楷体" w:eastAsia="楷体"/>
                <w:szCs w:val="21"/>
              </w:rPr>
            </w:pPr>
            <w:r>
              <w:rPr>
                <w:rFonts w:hint="eastAsia" w:ascii="楷体" w:hAnsi="楷体" w:eastAsia="楷体"/>
                <w:sz w:val="21"/>
                <w:szCs w:val="21"/>
                <w:lang w:val="en-US" w:eastAsia="zh-CN"/>
              </w:rPr>
              <w:t>2025年7月22日</w:t>
            </w:r>
            <w:r>
              <w:rPr>
                <w:rFonts w:hint="eastAsia" w:ascii="楷体" w:hAnsi="楷体" w:eastAsia="楷体"/>
                <w:szCs w:val="21"/>
              </w:rPr>
              <w:t>9:00</w:t>
            </w:r>
          </w:p>
          <w:p>
            <w:pPr>
              <w:jc w:val="center"/>
              <w:rPr>
                <w:rFonts w:ascii="楷体" w:hAnsi="楷体" w:eastAsia="楷体"/>
                <w:szCs w:val="21"/>
              </w:rPr>
            </w:pPr>
            <w:r>
              <w:rPr>
                <w:rFonts w:hint="eastAsia" w:ascii="楷体" w:hAnsi="楷体" w:eastAsia="楷体"/>
                <w:szCs w:val="21"/>
              </w:rPr>
              <w:t>至</w:t>
            </w:r>
          </w:p>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2025年7月30日</w:t>
            </w:r>
            <w:r>
              <w:rPr>
                <w:rFonts w:hint="eastAsia" w:ascii="楷体" w:hAnsi="楷体" w:eastAsia="楷体"/>
                <w:szCs w:val="21"/>
              </w:rPr>
              <w:t>17:00</w:t>
            </w:r>
          </w:p>
        </w:tc>
        <w:tc>
          <w:tcPr>
            <w:tcW w:w="1871"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2025年7月31日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default" w:ascii="楷体" w:hAnsi="楷体" w:eastAsia="楷体"/>
                <w:szCs w:val="21"/>
                <w:highlight w:val="none"/>
                <w:lang w:val="en-US" w:eastAsia="zh-CN"/>
              </w:rPr>
            </w:pPr>
            <w:r>
              <w:rPr>
                <w:rFonts w:hint="eastAsia" w:ascii="楷体" w:hAnsi="楷体" w:eastAsia="楷体"/>
                <w:szCs w:val="21"/>
                <w:highlight w:val="none"/>
                <w:lang w:val="en-US" w:eastAsia="zh-CN"/>
              </w:rPr>
              <w:t>13</w:t>
            </w:r>
          </w:p>
        </w:tc>
        <w:tc>
          <w:tcPr>
            <w:tcW w:w="1871" w:type="dxa"/>
            <w:noWrap w:val="0"/>
            <w:vAlign w:val="center"/>
          </w:tcPr>
          <w:p>
            <w:pPr>
              <w:jc w:val="center"/>
              <w:rPr>
                <w:rFonts w:hint="eastAsia" w:ascii="楷体" w:hAnsi="Times New Roman" w:eastAsia="楷体" w:cs="楷体"/>
                <w:color w:val="000000"/>
                <w:kern w:val="0"/>
                <w:sz w:val="21"/>
                <w:szCs w:val="21"/>
                <w:highlight w:val="none"/>
                <w:lang w:val="en-US" w:eastAsia="zh-CN" w:bidi="ar-SA"/>
              </w:rPr>
            </w:pPr>
            <w:r>
              <w:rPr>
                <w:rFonts w:hint="eastAsia" w:ascii="楷体" w:hAnsi="楷体" w:eastAsia="楷体"/>
                <w:sz w:val="21"/>
                <w:szCs w:val="21"/>
                <w:lang w:val="en-US" w:eastAsia="zh-CN"/>
              </w:rPr>
              <w:t>2025年7月31日</w:t>
            </w:r>
          </w:p>
        </w:tc>
        <w:tc>
          <w:tcPr>
            <w:tcW w:w="1871" w:type="dxa"/>
            <w:noWrap w:val="0"/>
            <w:vAlign w:val="center"/>
          </w:tcPr>
          <w:p>
            <w:pPr>
              <w:jc w:val="center"/>
              <w:rPr>
                <w:rFonts w:hint="eastAsia" w:ascii="楷体" w:hAnsi="Times New Roman" w:eastAsia="楷体" w:cs="楷体"/>
                <w:color w:val="000000"/>
                <w:kern w:val="0"/>
                <w:sz w:val="21"/>
                <w:szCs w:val="21"/>
                <w:highlight w:val="none"/>
                <w:lang w:val="en-US" w:eastAsia="zh-CN" w:bidi="ar-SA"/>
              </w:rPr>
            </w:pPr>
            <w:r>
              <w:rPr>
                <w:rFonts w:hint="eastAsia" w:ascii="楷体" w:hAnsi="楷体" w:eastAsia="楷体"/>
                <w:sz w:val="21"/>
                <w:szCs w:val="21"/>
                <w:lang w:val="en-US" w:eastAsia="zh-CN"/>
              </w:rPr>
              <w:t>2025年11月5日</w:t>
            </w:r>
          </w:p>
        </w:tc>
        <w:tc>
          <w:tcPr>
            <w:tcW w:w="2381" w:type="dxa"/>
            <w:noWrap w:val="0"/>
            <w:vAlign w:val="center"/>
          </w:tcPr>
          <w:p>
            <w:pPr>
              <w:jc w:val="center"/>
              <w:rPr>
                <w:rFonts w:ascii="楷体" w:hAnsi="楷体" w:eastAsia="楷体"/>
                <w:szCs w:val="21"/>
              </w:rPr>
            </w:pPr>
            <w:r>
              <w:rPr>
                <w:rFonts w:hint="eastAsia" w:ascii="楷体" w:hAnsi="楷体" w:eastAsia="楷体"/>
                <w:sz w:val="21"/>
                <w:szCs w:val="21"/>
                <w:lang w:val="en-US" w:eastAsia="zh-CN"/>
              </w:rPr>
              <w:t>2025年10月28日</w:t>
            </w:r>
            <w:r>
              <w:rPr>
                <w:rFonts w:hint="eastAsia" w:ascii="楷体" w:hAnsi="楷体" w:eastAsia="楷体"/>
                <w:szCs w:val="21"/>
              </w:rPr>
              <w:t>9:00</w:t>
            </w:r>
          </w:p>
          <w:p>
            <w:pPr>
              <w:jc w:val="center"/>
              <w:rPr>
                <w:rFonts w:ascii="楷体" w:hAnsi="楷体" w:eastAsia="楷体"/>
                <w:szCs w:val="21"/>
              </w:rPr>
            </w:pPr>
            <w:r>
              <w:rPr>
                <w:rFonts w:hint="eastAsia" w:ascii="楷体" w:hAnsi="楷体" w:eastAsia="楷体"/>
                <w:szCs w:val="21"/>
              </w:rPr>
              <w:t>至</w:t>
            </w:r>
          </w:p>
          <w:p>
            <w:pPr>
              <w:jc w:val="center"/>
              <w:rPr>
                <w:rFonts w:hint="eastAsia" w:ascii="楷体" w:hAnsi="Times New Roman" w:eastAsia="楷体" w:cs="楷体"/>
                <w:color w:val="000000"/>
                <w:kern w:val="0"/>
                <w:sz w:val="21"/>
                <w:szCs w:val="21"/>
                <w:highlight w:val="none"/>
                <w:lang w:val="en-US" w:eastAsia="zh-CN" w:bidi="ar-SA"/>
              </w:rPr>
            </w:pPr>
            <w:r>
              <w:rPr>
                <w:rFonts w:hint="eastAsia" w:ascii="楷体" w:hAnsi="楷体" w:eastAsia="楷体"/>
                <w:sz w:val="21"/>
                <w:szCs w:val="21"/>
                <w:lang w:val="en-US" w:eastAsia="zh-CN"/>
              </w:rPr>
              <w:t>2025年11月5日</w:t>
            </w:r>
            <w:r>
              <w:rPr>
                <w:rFonts w:hint="eastAsia" w:ascii="楷体" w:hAnsi="楷体" w:eastAsia="楷体"/>
                <w:szCs w:val="21"/>
              </w:rPr>
              <w:t>17:00</w:t>
            </w:r>
          </w:p>
        </w:tc>
        <w:tc>
          <w:tcPr>
            <w:tcW w:w="1871" w:type="dxa"/>
            <w:noWrap w:val="0"/>
            <w:vAlign w:val="center"/>
          </w:tcPr>
          <w:p>
            <w:pPr>
              <w:jc w:val="center"/>
              <w:rPr>
                <w:rFonts w:hint="eastAsia" w:ascii="楷体" w:hAnsi="Times New Roman" w:eastAsia="楷体" w:cs="楷体"/>
                <w:color w:val="000000"/>
                <w:kern w:val="0"/>
                <w:sz w:val="21"/>
                <w:szCs w:val="21"/>
                <w:highlight w:val="none"/>
                <w:lang w:val="en-US" w:eastAsia="zh-CN" w:bidi="ar-SA"/>
              </w:rPr>
            </w:pPr>
            <w:r>
              <w:rPr>
                <w:rFonts w:hint="eastAsia" w:ascii="楷体" w:hAnsi="楷体" w:eastAsia="楷体"/>
                <w:sz w:val="21"/>
                <w:szCs w:val="21"/>
                <w:lang w:val="en-US" w:eastAsia="zh-CN"/>
              </w:rPr>
              <w:t>2025年11月6日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default" w:ascii="楷体" w:hAnsi="楷体" w:eastAsia="楷体"/>
                <w:szCs w:val="21"/>
                <w:highlight w:val="none"/>
                <w:lang w:val="en-US" w:eastAsia="zh-CN"/>
              </w:rPr>
            </w:pPr>
            <w:r>
              <w:rPr>
                <w:rFonts w:hint="eastAsia" w:ascii="楷体" w:hAnsi="楷体" w:eastAsia="楷体"/>
                <w:szCs w:val="21"/>
                <w:highlight w:val="none"/>
                <w:lang w:val="en-US" w:eastAsia="zh-CN"/>
              </w:rPr>
              <w:t>14</w:t>
            </w:r>
          </w:p>
        </w:tc>
        <w:tc>
          <w:tcPr>
            <w:tcW w:w="1871"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2025年11月6日</w:t>
            </w:r>
          </w:p>
        </w:tc>
        <w:tc>
          <w:tcPr>
            <w:tcW w:w="1871" w:type="dxa"/>
            <w:noWrap w:val="0"/>
            <w:vAlign w:val="center"/>
          </w:tcPr>
          <w:p>
            <w:pPr>
              <w:jc w:val="center"/>
              <w:rPr>
                <w:rFonts w:hint="default" w:ascii="楷体" w:hAnsi="Times New Roman" w:eastAsia="楷体" w:cs="楷体"/>
                <w:color w:val="000000"/>
                <w:kern w:val="0"/>
                <w:szCs w:val="21"/>
                <w:highlight w:val="none"/>
                <w:lang w:val="en-US" w:eastAsia="zh-CN"/>
              </w:rPr>
            </w:pPr>
            <w:r>
              <w:rPr>
                <w:rFonts w:hint="eastAsia" w:ascii="楷体" w:hAnsi="Times New Roman" w:eastAsia="楷体" w:cs="楷体"/>
                <w:color w:val="000000"/>
                <w:kern w:val="0"/>
                <w:szCs w:val="21"/>
                <w:highlight w:val="none"/>
                <w:lang w:val="en-US" w:eastAsia="zh-CN"/>
              </w:rPr>
              <w:t>-</w:t>
            </w:r>
          </w:p>
        </w:tc>
        <w:tc>
          <w:tcPr>
            <w:tcW w:w="2381" w:type="dxa"/>
            <w:noWrap w:val="0"/>
            <w:vAlign w:val="center"/>
          </w:tcPr>
          <w:p>
            <w:pPr>
              <w:jc w:val="center"/>
              <w:rPr>
                <w:rFonts w:hint="default" w:ascii="楷体" w:hAnsi="Times New Roman" w:eastAsia="楷体" w:cs="楷体"/>
                <w:color w:val="000000"/>
                <w:kern w:val="0"/>
                <w:szCs w:val="21"/>
                <w:highlight w:val="none"/>
                <w:lang w:val="en-US" w:eastAsia="zh-CN"/>
              </w:rPr>
            </w:pPr>
            <w:r>
              <w:rPr>
                <w:rFonts w:hint="eastAsia" w:ascii="楷体" w:hAnsi="Times New Roman" w:eastAsia="楷体" w:cs="楷体"/>
                <w:color w:val="000000"/>
                <w:kern w:val="0"/>
                <w:szCs w:val="21"/>
                <w:highlight w:val="none"/>
                <w:lang w:val="en-US" w:eastAsia="zh-CN"/>
              </w:rPr>
              <w:t>-</w:t>
            </w:r>
          </w:p>
        </w:tc>
        <w:tc>
          <w:tcPr>
            <w:tcW w:w="1871" w:type="dxa"/>
            <w:noWrap w:val="0"/>
            <w:vAlign w:val="center"/>
          </w:tcPr>
          <w:p>
            <w:pPr>
              <w:jc w:val="center"/>
              <w:rPr>
                <w:rFonts w:hint="default" w:ascii="楷体" w:hAnsi="Times New Roman" w:eastAsia="楷体" w:cs="楷体"/>
                <w:color w:val="000000"/>
                <w:kern w:val="0"/>
                <w:szCs w:val="21"/>
                <w:highlight w:val="none"/>
                <w:lang w:val="en-US" w:eastAsia="zh-CN"/>
              </w:rPr>
            </w:pPr>
            <w:r>
              <w:rPr>
                <w:rFonts w:hint="eastAsia" w:ascii="楷体" w:hAnsi="Times New Roman" w:eastAsia="楷体" w:cs="楷体"/>
                <w:color w:val="000000"/>
                <w:kern w:val="0"/>
                <w:szCs w:val="21"/>
                <w:highlight w:val="none"/>
                <w:lang w:val="en-US" w:eastAsia="zh-CN"/>
              </w:rPr>
              <w:t>-</w:t>
            </w:r>
          </w:p>
        </w:tc>
      </w:tr>
    </w:tbl>
    <w:p>
      <w:pPr>
        <w:numPr>
          <w:ilvl w:val="0"/>
          <w:numId w:val="15"/>
        </w:numPr>
        <w:tabs>
          <w:tab w:val="left" w:pos="728"/>
        </w:tabs>
        <w:ind w:left="0" w:firstLine="480" w:firstLineChars="200"/>
        <w:rPr>
          <w:rFonts w:hint="eastAsia" w:ascii="楷体" w:hAnsi="楷体" w:eastAsia="楷体" w:cs="Calibri"/>
          <w:sz w:val="24"/>
          <w:szCs w:val="24"/>
        </w:rPr>
      </w:pPr>
      <w:r>
        <w:rPr>
          <w:rFonts w:ascii="楷体" w:hAnsi="楷体" w:eastAsia="楷体" w:cs="Calibri"/>
          <w:sz w:val="24"/>
          <w:szCs w:val="24"/>
        </w:rPr>
        <w:t>申购</w:t>
      </w:r>
      <w:r>
        <w:rPr>
          <w:rFonts w:hint="eastAsia" w:ascii="楷体" w:hAnsi="楷体" w:eastAsia="楷体" w:cs="Calibri"/>
          <w:sz w:val="24"/>
          <w:szCs w:val="24"/>
        </w:rPr>
        <w:t>、</w:t>
      </w:r>
      <w:r>
        <w:rPr>
          <w:rFonts w:ascii="楷体" w:hAnsi="楷体" w:eastAsia="楷体" w:cs="Calibri"/>
          <w:sz w:val="24"/>
          <w:szCs w:val="24"/>
        </w:rPr>
        <w:t>赎回的数额限制</w:t>
      </w:r>
      <w:r>
        <w:rPr>
          <w:rFonts w:hint="eastAsia" w:ascii="楷体" w:hAnsi="楷体" w:eastAsia="楷体" w:cs="Calibri"/>
          <w:sz w:val="24"/>
          <w:szCs w:val="24"/>
        </w:rPr>
        <w:t>：</w:t>
      </w:r>
      <w:r>
        <w:rPr>
          <w:rFonts w:ascii="楷体" w:hAnsi="楷体" w:eastAsia="楷体" w:cs="Calibri"/>
          <w:sz w:val="24"/>
          <w:szCs w:val="24"/>
          <w:highlight w:val="none"/>
        </w:rPr>
        <w:t>（以各销售机构设置为准）</w:t>
      </w:r>
    </w:p>
    <w:p>
      <w:pPr>
        <w:tabs>
          <w:tab w:val="left" w:pos="728"/>
        </w:tabs>
        <w:ind w:firstLine="486" w:firstLineChars="206"/>
        <w:rPr>
          <w:rFonts w:hint="eastAsia" w:ascii="楷体" w:hAnsi="楷体" w:eastAsia="楷体" w:cs="Calibri"/>
          <w:sz w:val="24"/>
          <w:szCs w:val="24"/>
        </w:rPr>
      </w:pPr>
      <w:r>
        <w:rPr>
          <w:rFonts w:hint="eastAsia" w:ascii="楷体" w:hAnsi="楷体" w:eastAsia="楷体" w:cs="宋体"/>
          <w:spacing w:val="-2"/>
          <w:sz w:val="24"/>
          <w:szCs w:val="24"/>
        </w:rPr>
        <w:t>A份额：</w:t>
      </w:r>
      <w:r>
        <w:rPr>
          <w:rFonts w:hint="eastAsia" w:ascii="楷体" w:hAnsi="楷体" w:eastAsia="楷体" w:cs="Calibri"/>
          <w:sz w:val="24"/>
          <w:szCs w:val="24"/>
        </w:rPr>
        <w:t>投资者每次申购金额以</w:t>
      </w:r>
      <w:r>
        <w:rPr>
          <w:rFonts w:ascii="楷体" w:hAnsi="楷体" w:eastAsia="楷体" w:cs="Calibri"/>
          <w:sz w:val="24"/>
          <w:szCs w:val="24"/>
        </w:rPr>
        <w:t>1</w:t>
      </w:r>
      <w:r>
        <w:rPr>
          <w:rFonts w:hint="eastAsia" w:ascii="楷体" w:hAnsi="楷体" w:eastAsia="楷体" w:cs="Calibri"/>
          <w:sz w:val="24"/>
          <w:szCs w:val="24"/>
        </w:rPr>
        <w:t>元的整数倍递增，申购时若为首次投资，申购金额不得少于</w:t>
      </w:r>
      <w:r>
        <w:rPr>
          <w:rFonts w:ascii="楷体" w:hAnsi="楷体" w:eastAsia="楷体" w:cs="Calibri"/>
          <w:sz w:val="24"/>
          <w:szCs w:val="24"/>
        </w:rPr>
        <w:t>1</w:t>
      </w:r>
      <w:r>
        <w:rPr>
          <w:rFonts w:hint="eastAsia" w:ascii="楷体" w:hAnsi="楷体" w:eastAsia="楷体" w:cs="Calibri"/>
          <w:sz w:val="24"/>
          <w:szCs w:val="24"/>
        </w:rPr>
        <w:t>元，并以</w:t>
      </w:r>
      <w:r>
        <w:rPr>
          <w:rFonts w:ascii="楷体" w:hAnsi="楷体" w:eastAsia="楷体" w:cs="Calibri"/>
          <w:sz w:val="24"/>
          <w:szCs w:val="24"/>
        </w:rPr>
        <w:t>1</w:t>
      </w:r>
      <w:r>
        <w:rPr>
          <w:rFonts w:hint="eastAsia" w:ascii="楷体" w:hAnsi="楷体" w:eastAsia="楷体" w:cs="Calibri"/>
          <w:sz w:val="24"/>
          <w:szCs w:val="24"/>
        </w:rPr>
        <w:t>元的整数倍递增；投资者每次赎回申请不得低于1份产品份额，赎回时或赎回后保留的产品份额余额不足1份的，在赎回时需一次全部赎回。</w:t>
      </w:r>
      <w:r>
        <w:rPr>
          <w:rFonts w:hint="eastAsia" w:ascii="楷体" w:hAnsi="楷体" w:eastAsia="楷体"/>
          <w:sz w:val="24"/>
          <w:szCs w:val="24"/>
        </w:rPr>
        <w:t>（以各销售机构设置为准）</w:t>
      </w:r>
    </w:p>
    <w:p>
      <w:pPr>
        <w:tabs>
          <w:tab w:val="left" w:pos="728"/>
        </w:tabs>
        <w:ind w:firstLine="486" w:firstLineChars="206"/>
        <w:rPr>
          <w:rFonts w:ascii="楷体" w:hAnsi="楷体" w:eastAsia="楷体" w:cs="Calibri"/>
          <w:sz w:val="24"/>
          <w:szCs w:val="24"/>
        </w:rPr>
      </w:pPr>
      <w:r>
        <w:rPr>
          <w:rFonts w:ascii="楷体" w:hAnsi="楷体" w:eastAsia="楷体" w:cs="宋体"/>
          <w:spacing w:val="-2"/>
          <w:sz w:val="24"/>
          <w:szCs w:val="24"/>
        </w:rPr>
        <w:t>C</w:t>
      </w:r>
      <w:r>
        <w:rPr>
          <w:rFonts w:hint="eastAsia" w:ascii="楷体" w:hAnsi="楷体" w:eastAsia="楷体" w:cs="宋体"/>
          <w:spacing w:val="-2"/>
          <w:sz w:val="24"/>
          <w:szCs w:val="24"/>
        </w:rPr>
        <w:t>份额：</w:t>
      </w:r>
      <w:r>
        <w:rPr>
          <w:rFonts w:hint="eastAsia" w:ascii="楷体" w:hAnsi="楷体" w:eastAsia="楷体" w:cs="Calibri"/>
          <w:sz w:val="24"/>
          <w:szCs w:val="24"/>
        </w:rPr>
        <w:t>投资者每次申购金额以</w:t>
      </w:r>
      <w:r>
        <w:rPr>
          <w:rFonts w:ascii="楷体" w:hAnsi="楷体" w:eastAsia="楷体" w:cs="Calibri"/>
          <w:sz w:val="24"/>
          <w:szCs w:val="24"/>
        </w:rPr>
        <w:t>1</w:t>
      </w:r>
      <w:r>
        <w:rPr>
          <w:rFonts w:hint="eastAsia" w:ascii="楷体" w:hAnsi="楷体" w:eastAsia="楷体" w:cs="Calibri"/>
          <w:sz w:val="24"/>
          <w:szCs w:val="24"/>
        </w:rPr>
        <w:t>万元的整数倍递增，申购时若为首次投资，申购金额不得少于</w:t>
      </w:r>
      <w:r>
        <w:rPr>
          <w:rFonts w:ascii="楷体" w:hAnsi="楷体" w:eastAsia="楷体" w:cs="Calibri"/>
          <w:sz w:val="24"/>
          <w:szCs w:val="24"/>
        </w:rPr>
        <w:t>1</w:t>
      </w:r>
      <w:r>
        <w:rPr>
          <w:rFonts w:hint="eastAsia" w:ascii="楷体" w:hAnsi="楷体" w:eastAsia="楷体" w:cs="Calibri"/>
          <w:sz w:val="24"/>
          <w:szCs w:val="24"/>
        </w:rPr>
        <w:t>万元，并以</w:t>
      </w:r>
      <w:r>
        <w:rPr>
          <w:rFonts w:ascii="楷体" w:hAnsi="楷体" w:eastAsia="楷体" w:cs="Calibri"/>
          <w:sz w:val="24"/>
          <w:szCs w:val="24"/>
        </w:rPr>
        <w:t>1</w:t>
      </w:r>
      <w:r>
        <w:rPr>
          <w:rFonts w:hint="eastAsia" w:ascii="楷体" w:hAnsi="楷体" w:eastAsia="楷体" w:cs="Calibri"/>
          <w:sz w:val="24"/>
          <w:szCs w:val="24"/>
        </w:rPr>
        <w:t>万元的整数倍递增；投资者每次赎回申请不得低于1份产品份额，赎回时或赎回后保留的产品份额余额不足1份的，在赎回时需一次全部赎回。</w:t>
      </w:r>
      <w:r>
        <w:rPr>
          <w:rFonts w:hint="eastAsia" w:ascii="楷体" w:hAnsi="楷体" w:eastAsia="楷体"/>
          <w:sz w:val="24"/>
          <w:szCs w:val="24"/>
        </w:rPr>
        <w:t>（以各销售机构设置为准）</w:t>
      </w:r>
    </w:p>
    <w:p>
      <w:pPr>
        <w:tabs>
          <w:tab w:val="left" w:pos="728"/>
        </w:tabs>
        <w:ind w:firstLine="486" w:firstLineChars="206"/>
        <w:rPr>
          <w:rFonts w:hint="eastAsia" w:ascii="楷体" w:hAnsi="楷体" w:eastAsia="楷体"/>
          <w:sz w:val="24"/>
          <w:szCs w:val="24"/>
        </w:rPr>
      </w:pPr>
      <w:r>
        <w:rPr>
          <w:rFonts w:ascii="楷体" w:hAnsi="楷体" w:eastAsia="楷体" w:cs="宋体"/>
          <w:spacing w:val="-2"/>
          <w:sz w:val="24"/>
          <w:szCs w:val="24"/>
        </w:rPr>
        <w:t>D</w:t>
      </w:r>
      <w:r>
        <w:rPr>
          <w:rFonts w:hint="eastAsia" w:ascii="楷体" w:hAnsi="楷体" w:eastAsia="楷体" w:cs="宋体"/>
          <w:spacing w:val="-2"/>
          <w:sz w:val="24"/>
          <w:szCs w:val="24"/>
        </w:rPr>
        <w:t>份额：</w:t>
      </w:r>
      <w:r>
        <w:rPr>
          <w:rFonts w:hint="eastAsia" w:ascii="楷体" w:hAnsi="楷体" w:eastAsia="楷体" w:cs="Calibri"/>
          <w:sz w:val="24"/>
          <w:szCs w:val="24"/>
        </w:rPr>
        <w:t>投资者每次申购金额以</w:t>
      </w:r>
      <w:r>
        <w:rPr>
          <w:rFonts w:ascii="楷体" w:hAnsi="楷体" w:eastAsia="楷体" w:cs="Calibri"/>
          <w:sz w:val="24"/>
          <w:szCs w:val="24"/>
        </w:rPr>
        <w:t>1</w:t>
      </w:r>
      <w:r>
        <w:rPr>
          <w:rFonts w:hint="eastAsia" w:ascii="楷体" w:hAnsi="楷体" w:eastAsia="楷体" w:cs="Calibri"/>
          <w:sz w:val="24"/>
          <w:szCs w:val="24"/>
        </w:rPr>
        <w:t>万元的整数倍递增，申购时若为首次投资，</w:t>
      </w:r>
      <w:r>
        <w:rPr>
          <w:rFonts w:hint="eastAsia" w:ascii="楷体" w:hAnsi="楷体" w:eastAsia="楷体" w:cs="Calibri"/>
          <w:sz w:val="24"/>
          <w:szCs w:val="24"/>
          <w:lang w:val="en-US" w:eastAsia="zh-CN"/>
        </w:rPr>
        <w:t>个人</w:t>
      </w:r>
      <w:r>
        <w:rPr>
          <w:rFonts w:hint="eastAsia" w:ascii="楷体" w:hAnsi="楷体" w:eastAsia="楷体" w:cs="Calibri"/>
          <w:sz w:val="24"/>
          <w:szCs w:val="24"/>
        </w:rPr>
        <w:t>投资者申购金额不得少于</w:t>
      </w:r>
      <w:r>
        <w:rPr>
          <w:rFonts w:ascii="楷体" w:hAnsi="楷体" w:eastAsia="楷体" w:cs="Calibri"/>
          <w:sz w:val="24"/>
          <w:szCs w:val="24"/>
        </w:rPr>
        <w:t>50</w:t>
      </w:r>
      <w:r>
        <w:rPr>
          <w:rFonts w:hint="eastAsia" w:ascii="楷体" w:hAnsi="楷体" w:eastAsia="楷体" w:cs="Calibri"/>
          <w:sz w:val="24"/>
          <w:szCs w:val="24"/>
        </w:rPr>
        <w:t>万元，并以</w:t>
      </w:r>
      <w:r>
        <w:rPr>
          <w:rFonts w:ascii="楷体" w:hAnsi="楷体" w:eastAsia="楷体" w:cs="Calibri"/>
          <w:sz w:val="24"/>
          <w:szCs w:val="24"/>
        </w:rPr>
        <w:t>1</w:t>
      </w:r>
      <w:r>
        <w:rPr>
          <w:rFonts w:hint="eastAsia" w:ascii="楷体" w:hAnsi="楷体" w:eastAsia="楷体" w:cs="Calibri"/>
          <w:sz w:val="24"/>
          <w:szCs w:val="24"/>
        </w:rPr>
        <w:t>万元的整数倍递增；</w:t>
      </w:r>
      <w:r>
        <w:rPr>
          <w:rFonts w:hint="eastAsia" w:ascii="楷体" w:hAnsi="楷体" w:eastAsia="楷体" w:cs="Calibri"/>
          <w:sz w:val="24"/>
          <w:szCs w:val="24"/>
          <w:lang w:val="en-US" w:eastAsia="zh-CN"/>
        </w:rPr>
        <w:t>机构</w:t>
      </w:r>
      <w:r>
        <w:rPr>
          <w:rFonts w:hint="eastAsia" w:ascii="楷体" w:hAnsi="楷体" w:eastAsia="楷体" w:cs="Calibri"/>
          <w:sz w:val="24"/>
          <w:szCs w:val="24"/>
        </w:rPr>
        <w:t>投资者申购金额不得少于</w:t>
      </w:r>
      <w:r>
        <w:rPr>
          <w:rFonts w:ascii="楷体" w:hAnsi="楷体" w:eastAsia="楷体" w:cs="Calibri"/>
          <w:sz w:val="24"/>
          <w:szCs w:val="24"/>
        </w:rPr>
        <w:t>50</w:t>
      </w:r>
      <w:r>
        <w:rPr>
          <w:rFonts w:hint="eastAsia" w:ascii="楷体" w:hAnsi="楷体" w:eastAsia="楷体" w:cs="Calibri"/>
          <w:sz w:val="24"/>
          <w:szCs w:val="24"/>
          <w:lang w:val="en-US" w:eastAsia="zh-CN"/>
        </w:rPr>
        <w:t>00</w:t>
      </w:r>
      <w:r>
        <w:rPr>
          <w:rFonts w:hint="eastAsia" w:ascii="楷体" w:hAnsi="楷体" w:eastAsia="楷体" w:cs="Calibri"/>
          <w:sz w:val="24"/>
          <w:szCs w:val="24"/>
        </w:rPr>
        <w:t>万元，并以</w:t>
      </w:r>
      <w:r>
        <w:rPr>
          <w:rFonts w:ascii="楷体" w:hAnsi="楷体" w:eastAsia="楷体" w:cs="Calibri"/>
          <w:sz w:val="24"/>
          <w:szCs w:val="24"/>
        </w:rPr>
        <w:t>1</w:t>
      </w:r>
      <w:r>
        <w:rPr>
          <w:rFonts w:hint="eastAsia" w:ascii="楷体" w:hAnsi="楷体" w:eastAsia="楷体" w:cs="Calibri"/>
          <w:sz w:val="24"/>
          <w:szCs w:val="24"/>
        </w:rPr>
        <w:t>万元的整数倍递增</w:t>
      </w:r>
      <w:r>
        <w:rPr>
          <w:rFonts w:hint="eastAsia" w:ascii="楷体" w:hAnsi="楷体" w:eastAsia="楷体" w:cs="Calibri"/>
          <w:sz w:val="24"/>
          <w:szCs w:val="24"/>
          <w:lang w:eastAsia="zh-CN"/>
        </w:rPr>
        <w:t>；</w:t>
      </w:r>
      <w:r>
        <w:rPr>
          <w:rFonts w:hint="eastAsia" w:ascii="楷体" w:hAnsi="楷体" w:eastAsia="楷体" w:cs="Calibri"/>
          <w:sz w:val="24"/>
          <w:szCs w:val="24"/>
        </w:rPr>
        <w:t>投资者每次赎回申请不得低于1份产品份额，赎回时或赎回后保留的产品份额余额不足1份的，在赎回时需一次全部赎回。</w:t>
      </w:r>
      <w:r>
        <w:rPr>
          <w:rFonts w:hint="eastAsia" w:ascii="楷体" w:hAnsi="楷体" w:eastAsia="楷体"/>
          <w:sz w:val="24"/>
          <w:szCs w:val="24"/>
        </w:rPr>
        <w:t>（以各销售机构设置为准）</w:t>
      </w:r>
    </w:p>
    <w:p>
      <w:pPr>
        <w:tabs>
          <w:tab w:val="left" w:pos="728"/>
        </w:tabs>
        <w:ind w:firstLine="486" w:firstLineChars="206"/>
        <w:rPr>
          <w:rFonts w:hint="eastAsia" w:ascii="楷体" w:hAnsi="楷体" w:eastAsia="楷体"/>
          <w:sz w:val="24"/>
          <w:szCs w:val="24"/>
        </w:rPr>
      </w:pPr>
      <w:r>
        <w:rPr>
          <w:rFonts w:hint="eastAsia" w:ascii="楷体" w:hAnsi="楷体" w:eastAsia="楷体" w:cs="宋体"/>
          <w:spacing w:val="-2"/>
          <w:sz w:val="24"/>
          <w:szCs w:val="24"/>
          <w:lang w:val="en-US" w:eastAsia="zh-CN"/>
        </w:rPr>
        <w:t>E</w:t>
      </w:r>
      <w:r>
        <w:rPr>
          <w:rFonts w:hint="eastAsia" w:ascii="楷体" w:hAnsi="楷体" w:eastAsia="楷体" w:cs="宋体"/>
          <w:spacing w:val="-2"/>
          <w:sz w:val="24"/>
          <w:szCs w:val="24"/>
        </w:rPr>
        <w:t>份额：</w:t>
      </w:r>
      <w:r>
        <w:rPr>
          <w:rFonts w:hint="eastAsia" w:ascii="楷体" w:hAnsi="楷体" w:eastAsia="楷体" w:cs="Calibri"/>
          <w:sz w:val="24"/>
          <w:szCs w:val="24"/>
        </w:rPr>
        <w:t>投资者每次申购金额以</w:t>
      </w:r>
      <w:r>
        <w:rPr>
          <w:rFonts w:ascii="楷体" w:hAnsi="楷体" w:eastAsia="楷体" w:cs="Calibri"/>
          <w:sz w:val="24"/>
          <w:szCs w:val="24"/>
        </w:rPr>
        <w:t>1</w:t>
      </w:r>
      <w:r>
        <w:rPr>
          <w:rFonts w:hint="eastAsia" w:ascii="楷体" w:hAnsi="楷体" w:eastAsia="楷体" w:cs="Calibri"/>
          <w:sz w:val="24"/>
          <w:szCs w:val="24"/>
        </w:rPr>
        <w:t>万元的整数倍递增，申购时若为首次投资，申购金额不得少于</w:t>
      </w:r>
      <w:r>
        <w:rPr>
          <w:rFonts w:hint="eastAsia" w:ascii="楷体" w:hAnsi="楷体" w:eastAsia="楷体" w:cs="Calibri"/>
          <w:sz w:val="24"/>
          <w:szCs w:val="24"/>
          <w:lang w:val="en-US" w:eastAsia="zh-CN"/>
        </w:rPr>
        <w:t>100</w:t>
      </w:r>
      <w:r>
        <w:rPr>
          <w:rFonts w:hint="eastAsia" w:ascii="楷体" w:hAnsi="楷体" w:eastAsia="楷体" w:cs="Calibri"/>
          <w:sz w:val="24"/>
          <w:szCs w:val="24"/>
        </w:rPr>
        <w:t>万元，并以</w:t>
      </w:r>
      <w:r>
        <w:rPr>
          <w:rFonts w:ascii="楷体" w:hAnsi="楷体" w:eastAsia="楷体" w:cs="Calibri"/>
          <w:sz w:val="24"/>
          <w:szCs w:val="24"/>
        </w:rPr>
        <w:t>1</w:t>
      </w:r>
      <w:r>
        <w:rPr>
          <w:rFonts w:hint="eastAsia" w:ascii="楷体" w:hAnsi="楷体" w:eastAsia="楷体" w:cs="Calibri"/>
          <w:sz w:val="24"/>
          <w:szCs w:val="24"/>
        </w:rPr>
        <w:t>万元的整数倍递增；投资者每次赎回申请不得低于1份产品份额，赎回时或赎回后保留的产品份额余额不足1份的，在赎回时需一次全部赎回。</w:t>
      </w:r>
      <w:r>
        <w:rPr>
          <w:rFonts w:hint="eastAsia" w:ascii="楷体" w:hAnsi="楷体" w:eastAsia="楷体"/>
          <w:sz w:val="24"/>
          <w:szCs w:val="24"/>
        </w:rPr>
        <w:t>（以各销售机构设置为准）</w:t>
      </w:r>
    </w:p>
    <w:p>
      <w:pPr>
        <w:tabs>
          <w:tab w:val="left" w:pos="728"/>
        </w:tabs>
        <w:ind w:firstLine="494" w:firstLineChars="206"/>
        <w:rPr>
          <w:rFonts w:hint="eastAsia" w:ascii="楷体" w:hAnsi="楷体" w:eastAsia="楷体"/>
          <w:sz w:val="24"/>
          <w:szCs w:val="24"/>
        </w:rPr>
      </w:pPr>
      <w:r>
        <w:rPr>
          <w:rFonts w:hint="eastAsia" w:ascii="楷体" w:hAnsi="楷体" w:eastAsia="楷体" w:cs="Calibri"/>
          <w:sz w:val="24"/>
          <w:szCs w:val="24"/>
          <w:lang w:val="en-US" w:eastAsia="zh-CN"/>
        </w:rPr>
        <w:t>F份额：</w:t>
      </w:r>
      <w:r>
        <w:rPr>
          <w:rFonts w:hint="eastAsia" w:ascii="楷体" w:hAnsi="楷体" w:eastAsia="楷体" w:cs="Calibri"/>
          <w:sz w:val="24"/>
          <w:szCs w:val="24"/>
        </w:rPr>
        <w:t>投资者每次申购金额以</w:t>
      </w:r>
      <w:r>
        <w:rPr>
          <w:rFonts w:ascii="楷体" w:hAnsi="楷体" w:eastAsia="楷体" w:cs="Calibri"/>
          <w:sz w:val="24"/>
          <w:szCs w:val="24"/>
        </w:rPr>
        <w:t>1</w:t>
      </w:r>
      <w:r>
        <w:rPr>
          <w:rFonts w:hint="eastAsia" w:ascii="楷体" w:hAnsi="楷体" w:eastAsia="楷体" w:cs="Calibri"/>
          <w:sz w:val="24"/>
          <w:szCs w:val="24"/>
        </w:rPr>
        <w:t>元的整数倍递增，申购时若为首次投资，申购金额不得少于</w:t>
      </w:r>
      <w:r>
        <w:rPr>
          <w:rFonts w:ascii="楷体" w:hAnsi="楷体" w:eastAsia="楷体" w:cs="Calibri"/>
          <w:sz w:val="24"/>
          <w:szCs w:val="24"/>
        </w:rPr>
        <w:t>1</w:t>
      </w:r>
      <w:r>
        <w:rPr>
          <w:rFonts w:hint="eastAsia" w:ascii="楷体" w:hAnsi="楷体" w:eastAsia="楷体" w:cs="Calibri"/>
          <w:sz w:val="24"/>
          <w:szCs w:val="24"/>
        </w:rPr>
        <w:t>元，并以</w:t>
      </w:r>
      <w:r>
        <w:rPr>
          <w:rFonts w:ascii="楷体" w:hAnsi="楷体" w:eastAsia="楷体" w:cs="Calibri"/>
          <w:sz w:val="24"/>
          <w:szCs w:val="24"/>
        </w:rPr>
        <w:t>1</w:t>
      </w:r>
      <w:r>
        <w:rPr>
          <w:rFonts w:hint="eastAsia" w:ascii="楷体" w:hAnsi="楷体" w:eastAsia="楷体" w:cs="Calibri"/>
          <w:sz w:val="24"/>
          <w:szCs w:val="24"/>
        </w:rPr>
        <w:t>元的整数倍递增；投资者每次赎回申请不得低于1份产品份额，赎回时或赎回后保留的产品份额余额不足1份的，在赎回时需一次全部赎回。</w:t>
      </w:r>
      <w:r>
        <w:rPr>
          <w:rFonts w:hint="eastAsia" w:ascii="楷体" w:hAnsi="楷体" w:eastAsia="楷体"/>
          <w:sz w:val="24"/>
          <w:szCs w:val="24"/>
        </w:rPr>
        <w:t>（以各销售机构设置为准）</w:t>
      </w:r>
    </w:p>
    <w:p>
      <w:pPr>
        <w:tabs>
          <w:tab w:val="left" w:pos="728"/>
        </w:tabs>
        <w:ind w:firstLine="494" w:firstLineChars="206"/>
        <w:rPr>
          <w:rFonts w:hint="eastAsia" w:ascii="楷体" w:hAnsi="楷体" w:eastAsia="楷体"/>
          <w:sz w:val="24"/>
          <w:szCs w:val="24"/>
        </w:rPr>
      </w:pPr>
      <w:r>
        <w:rPr>
          <w:rFonts w:hint="eastAsia" w:ascii="楷体" w:hAnsi="楷体" w:eastAsia="楷体" w:cs="Calibri"/>
          <w:sz w:val="24"/>
          <w:szCs w:val="24"/>
          <w:lang w:val="en-US" w:eastAsia="zh-CN"/>
        </w:rPr>
        <w:t>W份额：</w:t>
      </w:r>
      <w:r>
        <w:rPr>
          <w:rFonts w:hint="eastAsia" w:ascii="楷体" w:hAnsi="楷体" w:eastAsia="楷体" w:cs="Calibri"/>
          <w:sz w:val="24"/>
          <w:szCs w:val="24"/>
        </w:rPr>
        <w:t>投资者每次申购金额以</w:t>
      </w:r>
      <w:r>
        <w:rPr>
          <w:rFonts w:ascii="楷体" w:hAnsi="楷体" w:eastAsia="楷体" w:cs="Calibri"/>
          <w:sz w:val="24"/>
          <w:szCs w:val="24"/>
        </w:rPr>
        <w:t>1</w:t>
      </w:r>
      <w:r>
        <w:rPr>
          <w:rFonts w:hint="eastAsia" w:ascii="楷体" w:hAnsi="楷体" w:eastAsia="楷体" w:cs="Calibri"/>
          <w:sz w:val="24"/>
          <w:szCs w:val="24"/>
        </w:rPr>
        <w:t>元的整数倍递增，申购时若为首次投资，申购金额不得少于</w:t>
      </w:r>
      <w:r>
        <w:rPr>
          <w:rFonts w:ascii="楷体" w:hAnsi="楷体" w:eastAsia="楷体" w:cs="Calibri"/>
          <w:sz w:val="24"/>
          <w:szCs w:val="24"/>
        </w:rPr>
        <w:t>1</w:t>
      </w:r>
      <w:r>
        <w:rPr>
          <w:rFonts w:hint="eastAsia" w:ascii="楷体" w:hAnsi="楷体" w:eastAsia="楷体" w:cs="Calibri"/>
          <w:sz w:val="24"/>
          <w:szCs w:val="24"/>
        </w:rPr>
        <w:t>元，并以</w:t>
      </w:r>
      <w:r>
        <w:rPr>
          <w:rFonts w:ascii="楷体" w:hAnsi="楷体" w:eastAsia="楷体" w:cs="Calibri"/>
          <w:sz w:val="24"/>
          <w:szCs w:val="24"/>
        </w:rPr>
        <w:t>1</w:t>
      </w:r>
      <w:r>
        <w:rPr>
          <w:rFonts w:hint="eastAsia" w:ascii="楷体" w:hAnsi="楷体" w:eastAsia="楷体" w:cs="Calibri"/>
          <w:sz w:val="24"/>
          <w:szCs w:val="24"/>
        </w:rPr>
        <w:t>元的整数倍递增；投资者每次赎回申请不得低于1份产品份额，赎回时或赎回后保留的产品份额余额不足1份的，在赎回时需一次全部赎回。</w:t>
      </w:r>
      <w:r>
        <w:rPr>
          <w:rFonts w:hint="eastAsia" w:ascii="楷体" w:hAnsi="楷体" w:eastAsia="楷体"/>
          <w:sz w:val="24"/>
          <w:szCs w:val="24"/>
        </w:rPr>
        <w:t>（以各销售机构设置为准）</w:t>
      </w:r>
    </w:p>
    <w:p>
      <w:pPr>
        <w:tabs>
          <w:tab w:val="left" w:pos="728"/>
        </w:tabs>
        <w:ind w:firstLine="494" w:firstLineChars="206"/>
        <w:rPr>
          <w:rFonts w:hint="eastAsia" w:ascii="楷体" w:hAnsi="楷体" w:eastAsia="楷体"/>
          <w:sz w:val="24"/>
          <w:szCs w:val="24"/>
        </w:rPr>
      </w:pPr>
      <w:r>
        <w:rPr>
          <w:rFonts w:hint="eastAsia" w:ascii="楷体" w:hAnsi="楷体" w:eastAsia="楷体" w:cs="Calibri"/>
          <w:sz w:val="24"/>
          <w:szCs w:val="24"/>
          <w:lang w:val="en-US" w:eastAsia="zh-CN"/>
        </w:rPr>
        <w:t>S份额：</w:t>
      </w:r>
      <w:r>
        <w:rPr>
          <w:rFonts w:hint="eastAsia" w:ascii="楷体" w:hAnsi="楷体" w:eastAsia="楷体" w:cs="Calibri"/>
          <w:sz w:val="24"/>
          <w:szCs w:val="24"/>
        </w:rPr>
        <w:t>投资者每次申购金额以</w:t>
      </w:r>
      <w:r>
        <w:rPr>
          <w:rFonts w:ascii="楷体" w:hAnsi="楷体" w:eastAsia="楷体" w:cs="Calibri"/>
          <w:sz w:val="24"/>
          <w:szCs w:val="24"/>
        </w:rPr>
        <w:t>1</w:t>
      </w:r>
      <w:r>
        <w:rPr>
          <w:rFonts w:hint="eastAsia" w:ascii="楷体" w:hAnsi="楷体" w:eastAsia="楷体" w:cs="Calibri"/>
          <w:sz w:val="24"/>
          <w:szCs w:val="24"/>
        </w:rPr>
        <w:t>元的整数倍递增，申购时若为首次投资，申购金额不得少于</w:t>
      </w:r>
      <w:r>
        <w:rPr>
          <w:rFonts w:ascii="楷体" w:hAnsi="楷体" w:eastAsia="楷体" w:cs="Calibri"/>
          <w:sz w:val="24"/>
          <w:szCs w:val="24"/>
        </w:rPr>
        <w:t>1</w:t>
      </w:r>
      <w:r>
        <w:rPr>
          <w:rFonts w:hint="eastAsia" w:ascii="楷体" w:hAnsi="楷体" w:eastAsia="楷体" w:cs="Calibri"/>
          <w:sz w:val="24"/>
          <w:szCs w:val="24"/>
        </w:rPr>
        <w:t>元，并以</w:t>
      </w:r>
      <w:r>
        <w:rPr>
          <w:rFonts w:ascii="楷体" w:hAnsi="楷体" w:eastAsia="楷体" w:cs="Calibri"/>
          <w:sz w:val="24"/>
          <w:szCs w:val="24"/>
        </w:rPr>
        <w:t>1</w:t>
      </w:r>
      <w:r>
        <w:rPr>
          <w:rFonts w:hint="eastAsia" w:ascii="楷体" w:hAnsi="楷体" w:eastAsia="楷体" w:cs="Calibri"/>
          <w:sz w:val="24"/>
          <w:szCs w:val="24"/>
        </w:rPr>
        <w:t>元的整数倍递增；投资者每次赎回申请不得低于1份产品份额，赎回时或赎回后保留的产品份额余额不足1份的，在赎回时需一次全部赎回。</w:t>
      </w:r>
      <w:r>
        <w:rPr>
          <w:rFonts w:hint="eastAsia" w:ascii="楷体" w:hAnsi="楷体" w:eastAsia="楷体"/>
          <w:sz w:val="24"/>
          <w:szCs w:val="24"/>
        </w:rPr>
        <w:t>（以各销售机构设置为准）</w:t>
      </w:r>
    </w:p>
    <w:p>
      <w:pPr>
        <w:numPr>
          <w:ilvl w:val="0"/>
          <w:numId w:val="15"/>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撤单操作：在开放计划约定时间内提交的申购/赎回申请可以在产品开放日17:00前撤销，之后不得撤销。</w:t>
      </w:r>
      <w:r>
        <w:rPr>
          <w:rFonts w:hint="eastAsia" w:ascii="楷体" w:hAnsi="楷体" w:eastAsia="楷体"/>
          <w:sz w:val="24"/>
          <w:szCs w:val="24"/>
        </w:rPr>
        <w:t>（以各销售机构设置的撤单截止时间为准）</w:t>
      </w:r>
    </w:p>
    <w:p>
      <w:pPr>
        <w:numPr>
          <w:ilvl w:val="0"/>
          <w:numId w:val="15"/>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申购、赎回的确认：投资者申购/赎回本产品时采用“未知价”原则，投资者在开放计划时间内通过销售机构提出的申购/赎回申请，管理人于开放日后1个工作日按开放日单位净值对申购/赎回申请予以统一确认，未赎回的部分份额自动进入下一个投资周期。</w:t>
      </w:r>
    </w:p>
    <w:p>
      <w:pPr>
        <w:numPr>
          <w:ilvl w:val="0"/>
          <w:numId w:val="14"/>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申购、赎回的操作</w:t>
      </w:r>
    </w:p>
    <w:p>
      <w:pPr>
        <w:numPr>
          <w:ilvl w:val="0"/>
          <w:numId w:val="16"/>
        </w:numPr>
        <w:tabs>
          <w:tab w:val="left" w:pos="728"/>
        </w:tabs>
        <w:ind w:left="0" w:firstLine="480" w:firstLineChars="200"/>
        <w:outlineLvl w:val="2"/>
        <w:rPr>
          <w:rFonts w:hint="eastAsia" w:ascii="楷体" w:hAnsi="楷体" w:eastAsia="楷体" w:cs="Calibri"/>
          <w:sz w:val="24"/>
          <w:szCs w:val="24"/>
        </w:rPr>
      </w:pPr>
      <w:r>
        <w:rPr>
          <w:rFonts w:hint="eastAsia" w:ascii="楷体" w:hAnsi="楷体" w:eastAsia="楷体" w:cs="Calibri"/>
          <w:sz w:val="24"/>
          <w:szCs w:val="24"/>
        </w:rPr>
        <w:t>提出申购、赎回申请</w:t>
      </w:r>
    </w:p>
    <w:p>
      <w:pPr>
        <w:ind w:firstLine="480" w:firstLineChars="200"/>
        <w:rPr>
          <w:rFonts w:hint="eastAsia" w:ascii="楷体" w:hAnsi="楷体" w:eastAsia="楷体"/>
          <w:sz w:val="24"/>
          <w:szCs w:val="24"/>
        </w:rPr>
      </w:pPr>
      <w:r>
        <w:rPr>
          <w:rFonts w:hint="eastAsia" w:ascii="楷体" w:hAnsi="楷体" w:eastAsia="楷体"/>
          <w:sz w:val="24"/>
          <w:szCs w:val="24"/>
        </w:rPr>
        <w:t>投资者必须在产品开放计划内提出申购、赎回申请。投资者提出申购申请时，须备足购买资金。投资者提出赎回申请时，须有足够的理财产品份额余额。</w:t>
      </w:r>
    </w:p>
    <w:p>
      <w:pPr>
        <w:numPr>
          <w:ilvl w:val="0"/>
          <w:numId w:val="16"/>
        </w:numPr>
        <w:tabs>
          <w:tab w:val="left" w:pos="728"/>
        </w:tabs>
        <w:ind w:left="0" w:firstLine="480" w:firstLineChars="200"/>
        <w:outlineLvl w:val="2"/>
        <w:rPr>
          <w:rFonts w:hint="eastAsia" w:ascii="楷体" w:hAnsi="楷体" w:eastAsia="楷体" w:cs="Calibri"/>
          <w:sz w:val="24"/>
          <w:szCs w:val="24"/>
        </w:rPr>
      </w:pPr>
      <w:r>
        <w:rPr>
          <w:rFonts w:hint="eastAsia" w:ascii="楷体" w:hAnsi="楷体" w:eastAsia="楷体" w:cs="Calibri"/>
          <w:sz w:val="24"/>
          <w:szCs w:val="24"/>
        </w:rPr>
        <w:t>申购、赎回的确认</w:t>
      </w:r>
    </w:p>
    <w:p>
      <w:pPr>
        <w:ind w:firstLine="480" w:firstLineChars="200"/>
        <w:rPr>
          <w:rFonts w:hint="eastAsia" w:ascii="楷体" w:hAnsi="楷体" w:eastAsia="楷体"/>
          <w:sz w:val="24"/>
          <w:szCs w:val="24"/>
        </w:rPr>
      </w:pPr>
      <w:r>
        <w:rPr>
          <w:rFonts w:hint="eastAsia" w:ascii="楷体" w:hAnsi="楷体" w:eastAsia="楷体"/>
          <w:sz w:val="24"/>
          <w:szCs w:val="24"/>
        </w:rPr>
        <w:t>管理人在每个开放日后的第1个工作日对投资者的申购、赎回申请的有效性进行登记并确认。</w:t>
      </w:r>
    </w:p>
    <w:p>
      <w:pPr>
        <w:numPr>
          <w:ilvl w:val="0"/>
          <w:numId w:val="16"/>
        </w:numPr>
        <w:tabs>
          <w:tab w:val="left" w:pos="728"/>
        </w:tabs>
        <w:ind w:left="0" w:firstLine="480" w:firstLineChars="200"/>
        <w:outlineLvl w:val="2"/>
        <w:rPr>
          <w:rFonts w:hint="eastAsia" w:ascii="楷体" w:hAnsi="楷体" w:eastAsia="楷体" w:cs="Calibri"/>
          <w:sz w:val="24"/>
          <w:szCs w:val="24"/>
        </w:rPr>
      </w:pPr>
      <w:r>
        <w:rPr>
          <w:rFonts w:hint="eastAsia" w:ascii="楷体" w:hAnsi="楷体" w:eastAsia="楷体" w:cs="Calibri"/>
          <w:sz w:val="24"/>
          <w:szCs w:val="24"/>
        </w:rPr>
        <w:t>申购、赎回的支付</w:t>
      </w:r>
    </w:p>
    <w:p>
      <w:pPr>
        <w:ind w:firstLine="480" w:firstLineChars="200"/>
        <w:rPr>
          <w:rFonts w:hint="eastAsia" w:ascii="楷体" w:hAnsi="楷体" w:eastAsia="楷体"/>
          <w:sz w:val="24"/>
          <w:szCs w:val="24"/>
        </w:rPr>
      </w:pPr>
      <w:r>
        <w:rPr>
          <w:rFonts w:hint="eastAsia" w:ascii="楷体" w:hAnsi="楷体" w:eastAsia="楷体"/>
          <w:sz w:val="24"/>
          <w:szCs w:val="24"/>
          <w:highlight w:val="none"/>
        </w:rPr>
        <w:t>管理人在每个开放日后的第1个工作日对投资者的申购申请进行确认</w:t>
      </w:r>
      <w:r>
        <w:rPr>
          <w:rFonts w:hint="eastAsia" w:ascii="楷体" w:hAnsi="楷体" w:eastAsia="楷体"/>
          <w:sz w:val="24"/>
          <w:szCs w:val="24"/>
          <w:highlight w:val="none"/>
          <w:lang w:eastAsia="zh-CN"/>
        </w:rPr>
        <w:t>。</w:t>
      </w:r>
      <w:r>
        <w:rPr>
          <w:rFonts w:hint="eastAsia" w:ascii="楷体" w:hAnsi="楷体" w:eastAsia="楷体"/>
          <w:sz w:val="24"/>
          <w:szCs w:val="24"/>
          <w:highlight w:val="none"/>
        </w:rPr>
        <w:t>如投资者通过代销渠道购买，由销售机构扣划投资者资金账户资金；如投资者通过苏银理财直营</w:t>
      </w:r>
      <w:r>
        <w:rPr>
          <w:rFonts w:hint="eastAsia" w:ascii="楷体" w:hAnsi="楷体" w:eastAsia="楷体"/>
          <w:sz w:val="24"/>
          <w:szCs w:val="24"/>
          <w:highlight w:val="none"/>
          <w:lang w:val="en-US" w:eastAsia="zh-CN"/>
        </w:rPr>
        <w:t>渠道</w:t>
      </w:r>
      <w:r>
        <w:rPr>
          <w:rFonts w:hint="eastAsia" w:ascii="楷体" w:hAnsi="楷体" w:eastAsia="楷体"/>
          <w:sz w:val="24"/>
          <w:szCs w:val="24"/>
          <w:highlight w:val="none"/>
        </w:rPr>
        <w:t>购买</w:t>
      </w:r>
      <w:r>
        <w:rPr>
          <w:rFonts w:hint="eastAsia" w:ascii="楷体" w:hAnsi="楷体" w:eastAsia="楷体"/>
          <w:sz w:val="24"/>
          <w:szCs w:val="24"/>
          <w:highlight w:val="none"/>
          <w:lang w:eastAsia="zh-CN"/>
        </w:rPr>
        <w:t>，</w:t>
      </w:r>
      <w:r>
        <w:rPr>
          <w:rFonts w:hint="eastAsia" w:ascii="楷体" w:hAnsi="楷体" w:eastAsia="楷体"/>
          <w:sz w:val="24"/>
          <w:szCs w:val="24"/>
          <w:highlight w:val="none"/>
        </w:rPr>
        <w:t>资金清算以《理财产品销售协议书》约定为准。管理人在每个开放日后的第1个工作日对投资者的赎回申请进行确认，投资者赎回资金将在确认日后2个工作日内到达投资者资金账户。</w:t>
      </w:r>
    </w:p>
    <w:p>
      <w:pPr>
        <w:numPr>
          <w:ilvl w:val="0"/>
          <w:numId w:val="14"/>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申购份额、赎回金额的计算</w:t>
      </w:r>
    </w:p>
    <w:p>
      <w:pPr>
        <w:ind w:firstLine="480" w:firstLineChars="200"/>
        <w:rPr>
          <w:rFonts w:hint="eastAsia" w:ascii="楷体" w:hAnsi="楷体" w:eastAsia="楷体"/>
          <w:sz w:val="24"/>
          <w:szCs w:val="24"/>
        </w:rPr>
      </w:pPr>
      <w:r>
        <w:rPr>
          <w:rFonts w:hint="eastAsia" w:ascii="楷体" w:hAnsi="楷体" w:eastAsia="楷体"/>
          <w:sz w:val="24"/>
          <w:szCs w:val="24"/>
        </w:rPr>
        <w:t>申购份额=申购金额/开放日产品单位净值</w:t>
      </w:r>
    </w:p>
    <w:p>
      <w:pPr>
        <w:ind w:firstLine="480" w:firstLineChars="200"/>
        <w:rPr>
          <w:rFonts w:hint="eastAsia" w:ascii="楷体" w:hAnsi="楷体" w:eastAsia="楷体"/>
          <w:sz w:val="24"/>
          <w:szCs w:val="24"/>
        </w:rPr>
      </w:pPr>
      <w:r>
        <w:rPr>
          <w:rFonts w:hint="eastAsia" w:ascii="楷体" w:hAnsi="楷体" w:eastAsia="楷体"/>
          <w:sz w:val="24"/>
          <w:szCs w:val="24"/>
        </w:rPr>
        <w:t>赎回金额=赎回份额*开放日产品单位净值</w:t>
      </w:r>
    </w:p>
    <w:p>
      <w:pPr>
        <w:ind w:firstLine="480" w:firstLineChars="200"/>
        <w:rPr>
          <w:rFonts w:hint="eastAsia" w:ascii="楷体" w:hAnsi="楷体" w:eastAsia="楷体"/>
          <w:sz w:val="24"/>
          <w:szCs w:val="24"/>
        </w:rPr>
      </w:pPr>
      <w:r>
        <w:rPr>
          <w:rFonts w:hint="eastAsia" w:ascii="楷体" w:hAnsi="楷体" w:eastAsia="楷体"/>
          <w:sz w:val="24"/>
          <w:szCs w:val="24"/>
        </w:rPr>
        <w:t>申购份额以四舍五入的方法保留到小数点后两位</w:t>
      </w:r>
      <w:r>
        <w:rPr>
          <w:rFonts w:hint="eastAsia" w:ascii="楷体" w:hAnsi="楷体" w:eastAsia="楷体"/>
          <w:sz w:val="24"/>
          <w:szCs w:val="24"/>
          <w:highlight w:val="none"/>
          <w:lang w:eastAsia="zh-CN"/>
        </w:rPr>
        <w:t>，</w:t>
      </w:r>
      <w:r>
        <w:rPr>
          <w:rFonts w:hint="eastAsia" w:ascii="楷体" w:hAnsi="楷体" w:eastAsia="楷体"/>
          <w:sz w:val="24"/>
          <w:szCs w:val="24"/>
          <w:highlight w:val="none"/>
        </w:rPr>
        <w:t>赎回金额以四舍五入的方法保留到小数点后两位</w:t>
      </w:r>
      <w:r>
        <w:rPr>
          <w:rFonts w:hint="eastAsia" w:ascii="楷体" w:hAnsi="楷体" w:eastAsia="楷体"/>
          <w:sz w:val="24"/>
          <w:szCs w:val="24"/>
          <w:highlight w:val="none"/>
          <w:lang w:eastAsia="zh-CN"/>
        </w:rPr>
        <w:t>。</w:t>
      </w:r>
    </w:p>
    <w:p>
      <w:pPr>
        <w:tabs>
          <w:tab w:val="left" w:pos="993"/>
        </w:tabs>
        <w:ind w:left="420" w:leftChars="200"/>
        <w:rPr>
          <w:rFonts w:hint="eastAsia" w:ascii="楷体" w:hAnsi="楷体" w:eastAsia="楷体"/>
          <w:sz w:val="24"/>
          <w:szCs w:val="24"/>
          <w:u w:val="single"/>
        </w:rPr>
      </w:pPr>
      <w:r>
        <w:rPr>
          <w:rFonts w:hint="eastAsia" w:ascii="楷体" w:hAnsi="楷体" w:eastAsia="楷体"/>
          <w:sz w:val="24"/>
          <w:szCs w:val="24"/>
        </w:rPr>
        <w:t>计算示例：（</w:t>
      </w:r>
      <w:r>
        <w:rPr>
          <w:rFonts w:hint="eastAsia" w:ascii="楷体" w:hAnsi="楷体" w:eastAsia="楷体"/>
          <w:b/>
          <w:bCs/>
          <w:sz w:val="24"/>
          <w:szCs w:val="24"/>
          <w:u w:val="single"/>
        </w:rPr>
        <w:t>以下示例均为假设情况，不代表本产品实际投资业绩</w:t>
      </w:r>
      <w:r>
        <w:rPr>
          <w:rFonts w:hint="eastAsia" w:ascii="楷体" w:hAnsi="楷体" w:eastAsia="楷体"/>
          <w:sz w:val="24"/>
          <w:szCs w:val="24"/>
        </w:rPr>
        <w:t>）</w:t>
      </w:r>
    </w:p>
    <w:p>
      <w:pPr>
        <w:numPr>
          <w:ilvl w:val="0"/>
          <w:numId w:val="17"/>
        </w:numPr>
        <w:tabs>
          <w:tab w:val="left" w:pos="728"/>
        </w:tabs>
        <w:ind w:left="0" w:firstLine="480" w:firstLineChars="200"/>
        <w:outlineLvl w:val="2"/>
        <w:rPr>
          <w:rFonts w:ascii="楷体" w:hAnsi="楷体" w:eastAsia="楷体"/>
          <w:sz w:val="24"/>
          <w:szCs w:val="24"/>
        </w:rPr>
      </w:pPr>
      <w:r>
        <w:rPr>
          <w:rFonts w:hint="eastAsia" w:ascii="楷体" w:hAnsi="楷体" w:eastAsia="楷体"/>
          <w:sz w:val="24"/>
          <w:szCs w:val="24"/>
        </w:rPr>
        <w:t>情景一</w:t>
      </w:r>
    </w:p>
    <w:p>
      <w:pPr>
        <w:ind w:firstLine="480" w:firstLineChars="200"/>
        <w:rPr>
          <w:rFonts w:hint="eastAsia" w:ascii="楷体" w:hAnsi="楷体" w:eastAsia="楷体"/>
          <w:sz w:val="24"/>
          <w:szCs w:val="24"/>
        </w:rPr>
      </w:pPr>
      <w:r>
        <w:rPr>
          <w:rFonts w:ascii="楷体" w:hAnsi="楷体" w:eastAsia="楷体"/>
          <w:sz w:val="24"/>
          <w:szCs w:val="24"/>
        </w:rPr>
        <w:t>假定投资者</w:t>
      </w:r>
      <w:r>
        <w:rPr>
          <w:rFonts w:hint="eastAsia" w:ascii="楷体" w:hAnsi="楷体" w:eastAsia="楷体"/>
          <w:sz w:val="24"/>
          <w:szCs w:val="24"/>
        </w:rPr>
        <w:t>申购1</w:t>
      </w:r>
      <w:r>
        <w:rPr>
          <w:rFonts w:ascii="楷体" w:hAnsi="楷体" w:eastAsia="楷体"/>
          <w:sz w:val="24"/>
          <w:szCs w:val="24"/>
        </w:rPr>
        <w:t>0000元，</w:t>
      </w:r>
      <w:r>
        <w:rPr>
          <w:rFonts w:hint="eastAsia" w:ascii="楷体" w:hAnsi="楷体" w:eastAsia="楷体"/>
          <w:sz w:val="24"/>
          <w:szCs w:val="24"/>
        </w:rPr>
        <w:t>对应申购的开放日产品单位净值</w:t>
      </w:r>
      <w:r>
        <w:rPr>
          <w:rFonts w:ascii="楷体" w:hAnsi="楷体" w:eastAsia="楷体"/>
          <w:sz w:val="24"/>
          <w:szCs w:val="24"/>
        </w:rPr>
        <w:t>为1.</w:t>
      </w:r>
      <w:r>
        <w:rPr>
          <w:rFonts w:hint="eastAsia" w:ascii="楷体" w:hAnsi="楷体" w:eastAsia="楷体"/>
          <w:sz w:val="24"/>
          <w:szCs w:val="24"/>
        </w:rPr>
        <w:t>10</w:t>
      </w:r>
      <w:r>
        <w:rPr>
          <w:rFonts w:ascii="楷体" w:hAnsi="楷体" w:eastAsia="楷体"/>
          <w:sz w:val="24"/>
          <w:szCs w:val="24"/>
        </w:rPr>
        <w:t>0334，</w:t>
      </w:r>
      <w:r>
        <w:rPr>
          <w:rFonts w:hint="eastAsia" w:ascii="楷体" w:hAnsi="楷体" w:eastAsia="楷体"/>
          <w:sz w:val="24"/>
          <w:szCs w:val="24"/>
        </w:rPr>
        <w:t>客户申购确认份额为9088.15份，投资者后续提交赎回申请，赎回其所持有全部份额，对应赎回开放日产品单位净值为1.120221。</w:t>
      </w:r>
    </w:p>
    <w:p>
      <w:pPr>
        <w:ind w:firstLine="480" w:firstLineChars="200"/>
        <w:rPr>
          <w:rFonts w:hint="eastAsia" w:ascii="楷体" w:hAnsi="楷体" w:eastAsia="楷体"/>
          <w:sz w:val="24"/>
          <w:szCs w:val="24"/>
        </w:rPr>
      </w:pPr>
      <w:r>
        <w:rPr>
          <w:rFonts w:hint="eastAsia" w:ascii="楷体" w:hAnsi="楷体" w:eastAsia="楷体"/>
          <w:sz w:val="24"/>
          <w:szCs w:val="24"/>
        </w:rPr>
        <w:t>投资者申购确认份额=1</w:t>
      </w:r>
      <w:r>
        <w:rPr>
          <w:rFonts w:ascii="楷体" w:hAnsi="楷体" w:eastAsia="楷体"/>
          <w:sz w:val="24"/>
          <w:szCs w:val="24"/>
        </w:rPr>
        <w:t>0000</w:t>
      </w:r>
      <w:r>
        <w:rPr>
          <w:rFonts w:hint="eastAsia" w:ascii="楷体" w:hAnsi="楷体" w:eastAsia="楷体"/>
          <w:sz w:val="24"/>
          <w:szCs w:val="24"/>
        </w:rPr>
        <w:t>/</w:t>
      </w:r>
      <w:r>
        <w:rPr>
          <w:rFonts w:ascii="楷体" w:hAnsi="楷体" w:eastAsia="楷体"/>
          <w:sz w:val="24"/>
          <w:szCs w:val="24"/>
        </w:rPr>
        <w:t>1.</w:t>
      </w:r>
      <w:r>
        <w:rPr>
          <w:rFonts w:hint="eastAsia" w:ascii="楷体" w:hAnsi="楷体" w:eastAsia="楷体"/>
          <w:sz w:val="24"/>
          <w:szCs w:val="24"/>
        </w:rPr>
        <w:t>10</w:t>
      </w:r>
      <w:r>
        <w:rPr>
          <w:rFonts w:ascii="楷体" w:hAnsi="楷体" w:eastAsia="楷体"/>
          <w:sz w:val="24"/>
          <w:szCs w:val="24"/>
        </w:rPr>
        <w:t>0334</w:t>
      </w:r>
      <w:r>
        <w:rPr>
          <w:rFonts w:hint="eastAsia" w:ascii="楷体" w:hAnsi="楷体" w:eastAsia="楷体"/>
          <w:sz w:val="24"/>
          <w:szCs w:val="24"/>
        </w:rPr>
        <w:t>=9088.15份</w:t>
      </w:r>
    </w:p>
    <w:p>
      <w:pPr>
        <w:ind w:firstLine="480" w:firstLineChars="200"/>
        <w:rPr>
          <w:rFonts w:hint="eastAsia" w:ascii="楷体" w:hAnsi="楷体" w:eastAsia="楷体"/>
          <w:sz w:val="24"/>
          <w:szCs w:val="24"/>
        </w:rPr>
      </w:pPr>
      <w:r>
        <w:rPr>
          <w:rFonts w:hint="eastAsia" w:ascii="楷体" w:hAnsi="楷体" w:eastAsia="楷体"/>
          <w:sz w:val="24"/>
          <w:szCs w:val="24"/>
        </w:rPr>
        <w:t>投资者赎回兑付金额=9088.15</w:t>
      </w:r>
      <w:r>
        <w:rPr>
          <w:rFonts w:ascii="楷体" w:hAnsi="楷体" w:eastAsia="楷体"/>
          <w:sz w:val="24"/>
          <w:szCs w:val="24"/>
        </w:rPr>
        <w:t>×</w:t>
      </w:r>
      <w:r>
        <w:rPr>
          <w:rFonts w:hint="eastAsia" w:ascii="楷体" w:hAnsi="楷体" w:eastAsia="楷体"/>
          <w:sz w:val="24"/>
          <w:szCs w:val="24"/>
        </w:rPr>
        <w:t>1.120221=10180.74元</w:t>
      </w:r>
    </w:p>
    <w:p>
      <w:pPr>
        <w:ind w:firstLine="480" w:firstLineChars="200"/>
        <w:rPr>
          <w:rFonts w:hint="eastAsia" w:ascii="楷体" w:hAnsi="楷体" w:eastAsia="楷体"/>
          <w:sz w:val="24"/>
          <w:szCs w:val="24"/>
        </w:rPr>
      </w:pPr>
      <w:r>
        <w:rPr>
          <w:rFonts w:hint="eastAsia" w:ascii="楷体" w:hAnsi="楷体" w:eastAsia="楷体"/>
          <w:sz w:val="24"/>
          <w:szCs w:val="24"/>
        </w:rPr>
        <w:t>投资者</w:t>
      </w:r>
      <w:r>
        <w:rPr>
          <w:rFonts w:ascii="楷体" w:hAnsi="楷体" w:eastAsia="楷体"/>
          <w:sz w:val="24"/>
          <w:szCs w:val="24"/>
        </w:rPr>
        <w:t>投资收益金额=</w:t>
      </w:r>
      <w:r>
        <w:rPr>
          <w:rFonts w:hint="eastAsia" w:ascii="楷体" w:hAnsi="楷体" w:eastAsia="楷体"/>
          <w:sz w:val="24"/>
          <w:szCs w:val="24"/>
        </w:rPr>
        <w:t>10180.74</w:t>
      </w:r>
      <w:r>
        <w:rPr>
          <w:rFonts w:ascii="楷体" w:hAnsi="楷体" w:eastAsia="楷体"/>
          <w:sz w:val="24"/>
          <w:szCs w:val="24"/>
        </w:rPr>
        <w:t>-</w:t>
      </w:r>
      <w:r>
        <w:rPr>
          <w:rFonts w:hint="eastAsia" w:ascii="楷体" w:hAnsi="楷体" w:eastAsia="楷体"/>
          <w:sz w:val="24"/>
          <w:szCs w:val="24"/>
        </w:rPr>
        <w:t>10000=180.74元</w:t>
      </w:r>
    </w:p>
    <w:p>
      <w:pPr>
        <w:numPr>
          <w:ilvl w:val="0"/>
          <w:numId w:val="17"/>
        </w:numPr>
        <w:tabs>
          <w:tab w:val="left" w:pos="728"/>
        </w:tabs>
        <w:ind w:left="0" w:firstLine="480" w:firstLineChars="200"/>
        <w:outlineLvl w:val="2"/>
        <w:rPr>
          <w:rFonts w:hint="eastAsia" w:ascii="楷体" w:hAnsi="楷体" w:eastAsia="楷体"/>
          <w:sz w:val="24"/>
          <w:szCs w:val="24"/>
        </w:rPr>
      </w:pPr>
      <w:r>
        <w:rPr>
          <w:rFonts w:hint="eastAsia" w:ascii="楷体" w:hAnsi="楷体" w:eastAsia="楷体"/>
          <w:sz w:val="24"/>
          <w:szCs w:val="24"/>
        </w:rPr>
        <w:t>情景二</w:t>
      </w:r>
    </w:p>
    <w:p>
      <w:pPr>
        <w:ind w:firstLine="480" w:firstLineChars="200"/>
        <w:rPr>
          <w:rFonts w:hint="eastAsia" w:ascii="楷体" w:hAnsi="楷体" w:eastAsia="楷体"/>
          <w:sz w:val="24"/>
          <w:szCs w:val="24"/>
        </w:rPr>
      </w:pPr>
      <w:r>
        <w:rPr>
          <w:rFonts w:hint="eastAsia" w:ascii="楷体" w:hAnsi="楷体" w:eastAsia="楷体"/>
          <w:sz w:val="24"/>
          <w:szCs w:val="24"/>
        </w:rPr>
        <w:t>假定投资者申购10000元，对应申购的开放日产品单位净值为1.100334，客户申购确认份额为9088.15份，投资者后续提交赎回申请，赎回其所持有本产品全部份额，对应赎回开放日产品单位净值为1.094231。</w:t>
      </w:r>
    </w:p>
    <w:p>
      <w:pPr>
        <w:ind w:firstLine="480" w:firstLineChars="200"/>
        <w:rPr>
          <w:rFonts w:hint="eastAsia" w:ascii="楷体" w:hAnsi="楷体" w:eastAsia="楷体"/>
          <w:sz w:val="24"/>
          <w:szCs w:val="24"/>
        </w:rPr>
      </w:pPr>
      <w:r>
        <w:rPr>
          <w:rFonts w:hint="eastAsia" w:ascii="楷体" w:hAnsi="楷体" w:eastAsia="楷体"/>
          <w:sz w:val="24"/>
          <w:szCs w:val="24"/>
        </w:rPr>
        <w:t>投资者申购确认份额=1</w:t>
      </w:r>
      <w:r>
        <w:rPr>
          <w:rFonts w:ascii="楷体" w:hAnsi="楷体" w:eastAsia="楷体"/>
          <w:sz w:val="24"/>
          <w:szCs w:val="24"/>
        </w:rPr>
        <w:t>0000</w:t>
      </w:r>
      <w:r>
        <w:rPr>
          <w:rFonts w:hint="eastAsia" w:ascii="楷体" w:hAnsi="楷体" w:eastAsia="楷体"/>
          <w:sz w:val="24"/>
          <w:szCs w:val="24"/>
        </w:rPr>
        <w:t>/</w:t>
      </w:r>
      <w:r>
        <w:rPr>
          <w:rFonts w:ascii="楷体" w:hAnsi="楷体" w:eastAsia="楷体"/>
          <w:sz w:val="24"/>
          <w:szCs w:val="24"/>
        </w:rPr>
        <w:t>1.</w:t>
      </w:r>
      <w:r>
        <w:rPr>
          <w:rFonts w:hint="eastAsia" w:ascii="楷体" w:hAnsi="楷体" w:eastAsia="楷体"/>
          <w:sz w:val="24"/>
          <w:szCs w:val="24"/>
        </w:rPr>
        <w:t>10</w:t>
      </w:r>
      <w:r>
        <w:rPr>
          <w:rFonts w:ascii="楷体" w:hAnsi="楷体" w:eastAsia="楷体"/>
          <w:sz w:val="24"/>
          <w:szCs w:val="24"/>
        </w:rPr>
        <w:t>0334</w:t>
      </w:r>
      <w:r>
        <w:rPr>
          <w:rFonts w:hint="eastAsia" w:ascii="楷体" w:hAnsi="楷体" w:eastAsia="楷体"/>
          <w:sz w:val="24"/>
          <w:szCs w:val="24"/>
        </w:rPr>
        <w:t>=9088.15份</w:t>
      </w:r>
    </w:p>
    <w:p>
      <w:pPr>
        <w:ind w:firstLine="480" w:firstLineChars="200"/>
        <w:rPr>
          <w:rFonts w:hint="eastAsia" w:ascii="楷体" w:hAnsi="楷体" w:eastAsia="楷体"/>
          <w:sz w:val="24"/>
          <w:szCs w:val="24"/>
        </w:rPr>
      </w:pPr>
      <w:r>
        <w:rPr>
          <w:rFonts w:hint="eastAsia" w:ascii="楷体" w:hAnsi="楷体" w:eastAsia="楷体"/>
          <w:sz w:val="24"/>
          <w:szCs w:val="24"/>
        </w:rPr>
        <w:t>投资者赎回兑付金额=9088.15×1.094231=9944.54元</w:t>
      </w:r>
    </w:p>
    <w:p>
      <w:pPr>
        <w:ind w:firstLine="480" w:firstLineChars="200"/>
        <w:rPr>
          <w:rFonts w:hint="eastAsia" w:ascii="楷体" w:hAnsi="楷体" w:eastAsia="楷体"/>
          <w:sz w:val="24"/>
          <w:szCs w:val="24"/>
        </w:rPr>
      </w:pPr>
      <w:r>
        <w:rPr>
          <w:rFonts w:hint="eastAsia" w:ascii="楷体" w:hAnsi="楷体" w:eastAsia="楷体"/>
          <w:sz w:val="24"/>
          <w:szCs w:val="24"/>
        </w:rPr>
        <w:t>投资者投资收益金额=9944.54-10000=-55.46元</w:t>
      </w:r>
    </w:p>
    <w:p>
      <w:pPr>
        <w:ind w:firstLine="480" w:firstLineChars="200"/>
        <w:rPr>
          <w:rFonts w:hint="eastAsia" w:ascii="楷体" w:hAnsi="楷体" w:eastAsia="楷体"/>
          <w:sz w:val="24"/>
          <w:szCs w:val="24"/>
        </w:rPr>
      </w:pPr>
      <w:r>
        <w:rPr>
          <w:rFonts w:hint="eastAsia" w:ascii="楷体" w:hAnsi="楷体" w:eastAsia="楷体"/>
          <w:sz w:val="24"/>
          <w:szCs w:val="24"/>
        </w:rPr>
        <w:t>投资者投资本理财产品实际亏损55.46元，</w:t>
      </w:r>
      <w:r>
        <w:rPr>
          <w:rFonts w:hint="eastAsia" w:ascii="楷体" w:hAnsi="楷体" w:eastAsia="楷体"/>
          <w:b/>
          <w:sz w:val="24"/>
          <w:szCs w:val="24"/>
          <w:u w:val="single"/>
        </w:rPr>
        <w:t>在最不利的</w:t>
      </w:r>
      <w:r>
        <w:rPr>
          <w:rFonts w:hint="eastAsia" w:ascii="楷体" w:hAnsi="楷体" w:eastAsia="楷体"/>
          <w:b/>
          <w:sz w:val="24"/>
          <w:szCs w:val="24"/>
          <w:u w:val="single"/>
          <w:lang w:val="en-US" w:eastAsia="zh-CN"/>
        </w:rPr>
        <w:t>情形</w:t>
      </w:r>
      <w:r>
        <w:rPr>
          <w:rFonts w:hint="eastAsia" w:ascii="楷体" w:hAnsi="楷体" w:eastAsia="楷体"/>
          <w:b/>
          <w:sz w:val="24"/>
          <w:szCs w:val="24"/>
          <w:u w:val="single"/>
        </w:rPr>
        <w:t>下，投资者可能损失</w:t>
      </w:r>
      <w:r>
        <w:rPr>
          <w:rFonts w:ascii="楷体" w:hAnsi="楷体" w:eastAsia="楷体"/>
          <w:b/>
          <w:sz w:val="24"/>
          <w:szCs w:val="24"/>
          <w:u w:val="single"/>
        </w:rPr>
        <w:t>100%</w:t>
      </w:r>
      <w:r>
        <w:rPr>
          <w:rFonts w:hint="eastAsia" w:ascii="楷体" w:hAnsi="楷体" w:eastAsia="楷体"/>
          <w:b/>
          <w:sz w:val="24"/>
          <w:szCs w:val="24"/>
          <w:u w:val="single"/>
        </w:rPr>
        <w:t>本金。</w:t>
      </w:r>
    </w:p>
    <w:p>
      <w:pPr>
        <w:ind w:firstLine="482" w:firstLineChars="200"/>
        <w:rPr>
          <w:rFonts w:hint="eastAsia" w:ascii="楷体" w:hAnsi="楷体" w:eastAsia="楷体"/>
          <w:sz w:val="24"/>
          <w:szCs w:val="24"/>
        </w:rPr>
      </w:pPr>
      <w:r>
        <w:rPr>
          <w:rFonts w:hint="eastAsia" w:ascii="楷体" w:hAnsi="楷体" w:eastAsia="楷体"/>
          <w:b/>
          <w:sz w:val="24"/>
          <w:szCs w:val="24"/>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14"/>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巨额赎回的认定及处理</w:t>
      </w:r>
    </w:p>
    <w:p>
      <w:pPr>
        <w:numPr>
          <w:ilvl w:val="0"/>
          <w:numId w:val="18"/>
        </w:numPr>
        <w:tabs>
          <w:tab w:val="left" w:pos="728"/>
        </w:tabs>
        <w:ind w:left="0" w:firstLine="480" w:firstLineChars="200"/>
        <w:outlineLvl w:val="2"/>
        <w:rPr>
          <w:rFonts w:hint="eastAsia" w:ascii="楷体" w:hAnsi="楷体" w:eastAsia="楷体" w:cs="Calibri"/>
          <w:sz w:val="24"/>
          <w:szCs w:val="24"/>
          <w:highlight w:val="none"/>
        </w:rPr>
      </w:pPr>
      <w:r>
        <w:rPr>
          <w:rFonts w:hint="eastAsia" w:ascii="楷体" w:hAnsi="楷体" w:eastAsia="楷体" w:cs="Calibri"/>
          <w:sz w:val="24"/>
          <w:szCs w:val="24"/>
          <w:highlight w:val="none"/>
        </w:rPr>
        <w:t>巨额赎回的认定</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理财产品每个开放日投资者净赎回额（赎回申请份额总数扣除申购申请份额总数）超过本产品上一工作日日终份额10%时，即为发生巨额赎回。</w:t>
      </w:r>
    </w:p>
    <w:p>
      <w:pPr>
        <w:numPr>
          <w:ilvl w:val="0"/>
          <w:numId w:val="18"/>
        </w:numPr>
        <w:tabs>
          <w:tab w:val="left" w:pos="728"/>
        </w:tabs>
        <w:ind w:left="0" w:firstLine="480" w:firstLineChars="200"/>
        <w:outlineLvl w:val="2"/>
        <w:rPr>
          <w:rFonts w:hint="eastAsia" w:ascii="楷体" w:hAnsi="楷体" w:eastAsia="楷体"/>
          <w:sz w:val="24"/>
          <w:szCs w:val="24"/>
        </w:rPr>
      </w:pPr>
      <w:r>
        <w:rPr>
          <w:rFonts w:hint="eastAsia" w:ascii="楷体" w:hAnsi="楷体" w:eastAsia="楷体" w:cs="Calibri"/>
          <w:sz w:val="24"/>
          <w:szCs w:val="24"/>
        </w:rPr>
        <w:t>巨额赎回的处理</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产品管理人可以根据本产品当时的资产组合状况决定采取全额赎回、部分赎回、延期办理巨额赎回等措施，产品管理人将在采取相关措施后3个工作日内进行信息披露。</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lang w:eastAsia="zh-CN"/>
        </w:rPr>
        <w:t>（</w:t>
      </w:r>
      <w:r>
        <w:rPr>
          <w:rFonts w:hint="eastAsia" w:ascii="楷体" w:hAnsi="楷体" w:eastAsia="楷体"/>
          <w:sz w:val="24"/>
          <w:szCs w:val="24"/>
          <w:highlight w:val="none"/>
          <w:lang w:val="en-US" w:eastAsia="zh-CN"/>
        </w:rPr>
        <w:t>1）</w:t>
      </w:r>
      <w:r>
        <w:rPr>
          <w:rFonts w:hint="eastAsia" w:ascii="楷体" w:hAnsi="楷体" w:eastAsia="楷体"/>
          <w:sz w:val="24"/>
          <w:szCs w:val="24"/>
          <w:highlight w:val="none"/>
        </w:rPr>
        <w:t>全额赎回：当产品管理人有能力兑付投资者的全部赎回申请时，将在申请确认日按投资者申请赎回份额执行正常赎回程序。</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lang w:eastAsia="zh-CN"/>
        </w:rPr>
        <w:t>（</w:t>
      </w:r>
      <w:r>
        <w:rPr>
          <w:rFonts w:hint="eastAsia" w:ascii="楷体" w:hAnsi="楷体" w:eastAsia="楷体"/>
          <w:sz w:val="24"/>
          <w:szCs w:val="24"/>
          <w:highlight w:val="none"/>
          <w:lang w:val="en-US" w:eastAsia="zh-CN"/>
        </w:rPr>
        <w:t>2）</w:t>
      </w:r>
      <w:r>
        <w:rPr>
          <w:rFonts w:hint="eastAsia" w:ascii="楷体" w:hAnsi="楷体" w:eastAsia="楷体"/>
          <w:sz w:val="24"/>
          <w:szCs w:val="24"/>
          <w:highlight w:val="none"/>
        </w:rPr>
        <w:t>部分赎回：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赎回总份额的比例，确定该份额持有人当日办理的赎回份额。</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lang w:eastAsia="zh-CN"/>
        </w:rPr>
        <w:t>（</w:t>
      </w:r>
      <w:r>
        <w:rPr>
          <w:rFonts w:hint="eastAsia" w:ascii="楷体" w:hAnsi="楷体" w:eastAsia="楷体"/>
          <w:sz w:val="24"/>
          <w:szCs w:val="24"/>
          <w:highlight w:val="none"/>
          <w:lang w:val="en-US" w:eastAsia="zh-CN"/>
        </w:rPr>
        <w:t>3）</w:t>
      </w:r>
      <w:r>
        <w:rPr>
          <w:rFonts w:hint="eastAsia" w:ascii="楷体" w:hAnsi="楷体" w:eastAsia="楷体"/>
          <w:sz w:val="24"/>
          <w:szCs w:val="24"/>
          <w:highlight w:val="none"/>
        </w:rPr>
        <w:t>对于该开放日内净赎回额超过本产品上一工作日日终份额10%时，管理人有权拒绝超过10%以上部分的赎回申请。未确认受理的赎回申请份额，投资者可选择将当日未获受理部分予以撤销（巨额赎回处理方式具体以</w:t>
      </w:r>
      <w:r>
        <w:rPr>
          <w:rFonts w:hint="eastAsia" w:ascii="楷体" w:hAnsi="楷体" w:eastAsia="楷体"/>
          <w:sz w:val="24"/>
          <w:szCs w:val="24"/>
          <w:highlight w:val="none"/>
          <w:lang w:val="en-US" w:eastAsia="zh-CN"/>
        </w:rPr>
        <w:t>销售</w:t>
      </w:r>
      <w:r>
        <w:rPr>
          <w:rFonts w:hint="eastAsia" w:ascii="楷体" w:hAnsi="楷体" w:eastAsia="楷体"/>
          <w:sz w:val="24"/>
          <w:szCs w:val="24"/>
          <w:highlight w:val="none"/>
        </w:rPr>
        <w:t>机构展示为准），未选择撤销的赎回申请，产品管理人可以延迟至下一开放日处理，转入下一开放日的赎回申请不享有优先确认权。</w:t>
      </w:r>
    </w:p>
    <w:p>
      <w:pPr>
        <w:numPr>
          <w:ilvl w:val="0"/>
          <w:numId w:val="0"/>
        </w:numPr>
        <w:tabs>
          <w:tab w:val="left" w:pos="1092"/>
        </w:tabs>
        <w:ind w:firstLine="480" w:firstLineChars="200"/>
        <w:rPr>
          <w:rFonts w:hint="eastAsia" w:ascii="楷体" w:hAnsi="楷体" w:eastAsia="楷体" w:cs="Calibri"/>
          <w:sz w:val="24"/>
          <w:szCs w:val="24"/>
        </w:rPr>
      </w:pPr>
      <w:r>
        <w:rPr>
          <w:rFonts w:hint="eastAsia" w:ascii="楷体" w:hAnsi="楷体" w:eastAsia="楷体" w:cs="Calibri"/>
          <w:sz w:val="24"/>
          <w:szCs w:val="24"/>
          <w:lang w:eastAsia="zh-CN"/>
        </w:rPr>
        <w:t>（</w:t>
      </w:r>
      <w:r>
        <w:rPr>
          <w:rFonts w:hint="eastAsia" w:ascii="楷体" w:hAnsi="楷体" w:eastAsia="楷体" w:cs="Calibri"/>
          <w:sz w:val="24"/>
          <w:szCs w:val="24"/>
          <w:lang w:val="en-US" w:eastAsia="zh-CN"/>
        </w:rPr>
        <w:t>4</w:t>
      </w:r>
      <w:r>
        <w:rPr>
          <w:rFonts w:hint="eastAsia" w:ascii="楷体" w:hAnsi="楷体" w:eastAsia="楷体" w:cs="Calibri"/>
          <w:sz w:val="24"/>
          <w:szCs w:val="24"/>
          <w:lang w:eastAsia="zh-CN"/>
        </w:rPr>
        <w:t>）</w:t>
      </w:r>
      <w:r>
        <w:rPr>
          <w:rFonts w:hint="eastAsia" w:ascii="楷体" w:hAnsi="楷体" w:eastAsia="楷体" w:cs="Calibri"/>
          <w:sz w:val="24"/>
          <w:szCs w:val="24"/>
        </w:rPr>
        <w:t>连续2个以上开放日发生巨额赎回的，管理人除有权选择全额赎回或部分赎回等措施外，对于已经接受的赎回申请，管理人可以延缓支付赎回款项，但延缓期限不得超过20个工作日。</w:t>
      </w:r>
    </w:p>
    <w:p>
      <w:pPr>
        <w:numPr>
          <w:ilvl w:val="0"/>
          <w:numId w:val="0"/>
        </w:numPr>
        <w:tabs>
          <w:tab w:val="left" w:pos="1092"/>
        </w:tabs>
        <w:ind w:firstLine="480" w:firstLineChars="200"/>
        <w:rPr>
          <w:rFonts w:hint="eastAsia" w:ascii="楷体" w:hAnsi="楷体" w:eastAsia="楷体"/>
          <w:sz w:val="24"/>
          <w:szCs w:val="24"/>
          <w:highlight w:val="none"/>
        </w:rPr>
      </w:pPr>
      <w:r>
        <w:rPr>
          <w:rFonts w:hint="eastAsia" w:ascii="楷体" w:hAnsi="楷体" w:eastAsia="楷体" w:cs="Calibri"/>
          <w:sz w:val="24"/>
          <w:szCs w:val="24"/>
          <w:lang w:eastAsia="zh-CN"/>
        </w:rPr>
        <w:t>（</w:t>
      </w:r>
      <w:r>
        <w:rPr>
          <w:rFonts w:hint="eastAsia" w:ascii="楷体" w:hAnsi="楷体" w:eastAsia="楷体" w:cs="Calibri"/>
          <w:sz w:val="24"/>
          <w:szCs w:val="24"/>
          <w:lang w:val="en-US" w:eastAsia="zh-CN"/>
        </w:rPr>
        <w:t>5</w:t>
      </w:r>
      <w:r>
        <w:rPr>
          <w:rFonts w:hint="eastAsia" w:ascii="楷体" w:hAnsi="楷体" w:eastAsia="楷体" w:cs="Calibri"/>
          <w:sz w:val="24"/>
          <w:szCs w:val="24"/>
          <w:lang w:eastAsia="zh-CN"/>
        </w:rPr>
        <w:t>）</w:t>
      </w:r>
      <w:r>
        <w:rPr>
          <w:rFonts w:hint="eastAsia" w:ascii="楷体" w:hAnsi="楷体" w:eastAsia="楷体" w:cs="Calibri"/>
          <w:sz w:val="24"/>
          <w:szCs w:val="24"/>
        </w:rPr>
        <w:t>赎回资金到账：未发生</w:t>
      </w:r>
      <w:r>
        <w:rPr>
          <w:rFonts w:ascii="楷体" w:hAnsi="楷体" w:eastAsia="楷体" w:cs="Calibri"/>
          <w:sz w:val="24"/>
          <w:szCs w:val="24"/>
        </w:rPr>
        <w:t>巨额赎回的情况下，</w:t>
      </w:r>
      <w:r>
        <w:rPr>
          <w:rFonts w:hint="eastAsia" w:ascii="楷体" w:hAnsi="楷体" w:eastAsia="楷体" w:cs="Calibri"/>
          <w:sz w:val="24"/>
          <w:szCs w:val="24"/>
        </w:rPr>
        <w:t>实际赎回确认日后</w:t>
      </w:r>
      <w:r>
        <w:rPr>
          <w:rFonts w:hint="eastAsia" w:ascii="楷体" w:hAnsi="楷体" w:eastAsia="楷体" w:cs="Calibri"/>
          <w:sz w:val="24"/>
          <w:szCs w:val="24"/>
          <w:lang w:val="en-US" w:eastAsia="zh-CN"/>
        </w:rPr>
        <w:t>2</w:t>
      </w:r>
      <w:r>
        <w:rPr>
          <w:rFonts w:hint="eastAsia" w:ascii="楷体" w:hAnsi="楷体" w:eastAsia="楷体" w:cs="Calibri"/>
          <w:sz w:val="24"/>
          <w:szCs w:val="24"/>
        </w:rPr>
        <w:t>个工作日内到达投资者资金账户。</w:t>
      </w:r>
    </w:p>
    <w:p>
      <w:pPr>
        <w:numPr>
          <w:ilvl w:val="0"/>
          <w:numId w:val="14"/>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特殊情形及处理</w:t>
      </w:r>
    </w:p>
    <w:p>
      <w:pPr>
        <w:ind w:firstLine="482" w:firstLineChars="200"/>
        <w:outlineLvl w:val="2"/>
        <w:rPr>
          <w:rFonts w:ascii="楷体" w:hAnsi="楷体" w:eastAsia="楷体"/>
          <w:b/>
          <w:bCs/>
          <w:sz w:val="24"/>
          <w:szCs w:val="24"/>
        </w:rPr>
      </w:pPr>
      <w:r>
        <w:rPr>
          <w:rFonts w:ascii="楷体" w:hAnsi="楷体" w:eastAsia="楷体"/>
          <w:b/>
          <w:bCs/>
          <w:sz w:val="24"/>
          <w:szCs w:val="24"/>
        </w:rPr>
        <w:t>1.</w:t>
      </w:r>
      <w:r>
        <w:rPr>
          <w:rFonts w:hint="eastAsia" w:ascii="楷体" w:hAnsi="楷体" w:eastAsia="楷体"/>
          <w:b/>
          <w:bCs/>
          <w:sz w:val="24"/>
          <w:szCs w:val="24"/>
        </w:rPr>
        <w:t>除以下情形外，管理人不得拒绝接受或暂停接受投资者的申购申请：</w:t>
      </w:r>
    </w:p>
    <w:p>
      <w:pPr>
        <w:numPr>
          <w:ilvl w:val="0"/>
          <w:numId w:val="0"/>
        </w:numPr>
        <w:tabs>
          <w:tab w:val="left" w:pos="728"/>
        </w:tabs>
        <w:ind w:left="0" w:leftChars="0"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（1）不可抗力的原因导致产品无法正常运作</w:t>
      </w:r>
      <w:r>
        <w:rPr>
          <w:rFonts w:hint="eastAsia" w:ascii="楷体" w:hAnsi="楷体" w:eastAsia="楷体" w:cs="Calibri"/>
          <w:sz w:val="24"/>
          <w:szCs w:val="24"/>
          <w:lang w:eastAsia="zh-CN"/>
        </w:rPr>
        <w:t>。</w:t>
      </w:r>
    </w:p>
    <w:p>
      <w:pPr>
        <w:numPr>
          <w:ilvl w:val="0"/>
          <w:numId w:val="0"/>
        </w:numPr>
        <w:tabs>
          <w:tab w:val="left" w:pos="728"/>
        </w:tabs>
        <w:ind w:left="0" w:leftChars="0"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（2）超出产品单一投资者持有上限</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w:t>
      </w:r>
      <w:r>
        <w:rPr>
          <w:rFonts w:hint="eastAsia" w:ascii="楷体" w:hAnsi="楷体" w:eastAsia="楷体" w:cs="Calibri"/>
          <w:sz w:val="24"/>
          <w:szCs w:val="24"/>
          <w:lang w:val="en-US" w:eastAsia="zh-CN"/>
        </w:rPr>
        <w:t>3</w:t>
      </w:r>
      <w:r>
        <w:rPr>
          <w:rFonts w:hint="eastAsia" w:ascii="楷体" w:hAnsi="楷体" w:eastAsia="楷体" w:cs="Calibri"/>
          <w:sz w:val="24"/>
          <w:szCs w:val="24"/>
        </w:rPr>
        <w:t>）发生《理财产品说明书》约定的暂停估值的情形</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w:t>
      </w:r>
      <w:r>
        <w:rPr>
          <w:rFonts w:hint="eastAsia" w:ascii="楷体" w:hAnsi="楷体" w:eastAsia="楷体" w:cs="Calibri"/>
          <w:sz w:val="24"/>
          <w:szCs w:val="24"/>
          <w:lang w:val="en-US" w:eastAsia="zh-CN"/>
        </w:rPr>
        <w:t>4</w:t>
      </w:r>
      <w:r>
        <w:rPr>
          <w:rFonts w:hint="eastAsia" w:ascii="楷体" w:hAnsi="楷体" w:eastAsia="楷体" w:cs="Calibri"/>
          <w:sz w:val="24"/>
          <w:szCs w:val="24"/>
        </w:rPr>
        <w:t>）管理人接受某笔或者某些申购申请有可能导致单一投资者持有理财计划份额的比例达到或者超过50%的情形</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w:t>
      </w:r>
      <w:r>
        <w:rPr>
          <w:rFonts w:hint="eastAsia" w:ascii="楷体" w:hAnsi="楷体" w:eastAsia="楷体" w:cs="Calibri"/>
          <w:sz w:val="24"/>
          <w:szCs w:val="24"/>
          <w:lang w:val="en-US" w:eastAsia="zh-CN"/>
        </w:rPr>
        <w:t>5</w:t>
      </w:r>
      <w:r>
        <w:rPr>
          <w:rFonts w:hint="eastAsia" w:ascii="楷体" w:hAnsi="楷体" w:eastAsia="楷体" w:cs="Calibri"/>
          <w:sz w:val="24"/>
          <w:szCs w:val="24"/>
        </w:rPr>
        <w:t>）当接受某笔或某些申购申请可能对存量理财计划份额持有人利益构成潜在重大不利影响时</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w:t>
      </w:r>
      <w:r>
        <w:rPr>
          <w:rFonts w:hint="eastAsia" w:ascii="楷体" w:hAnsi="楷体" w:eastAsia="楷体" w:cs="Calibri"/>
          <w:sz w:val="24"/>
          <w:szCs w:val="24"/>
          <w:lang w:val="en-US" w:eastAsia="zh-CN"/>
        </w:rPr>
        <w:t>6</w:t>
      </w:r>
      <w:r>
        <w:rPr>
          <w:rFonts w:hint="eastAsia" w:ascii="楷体" w:hAnsi="楷体" w:eastAsia="楷体" w:cs="Calibri"/>
          <w:sz w:val="24"/>
          <w:szCs w:val="24"/>
        </w:rPr>
        <w:t>）法律、法规规定认定的其他情形。</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管理人不承担申购款项在该期间所产生的利息等损失。在上述暂停或拒绝申购的情况消除后，管理人将及时恢复申购业务的办理。</w:t>
      </w:r>
    </w:p>
    <w:p>
      <w:pPr>
        <w:ind w:firstLine="482" w:firstLineChars="200"/>
        <w:outlineLvl w:val="2"/>
        <w:rPr>
          <w:rFonts w:ascii="楷体" w:hAnsi="楷体" w:eastAsia="楷体"/>
          <w:b/>
          <w:bCs/>
          <w:sz w:val="24"/>
          <w:szCs w:val="24"/>
        </w:rPr>
      </w:pPr>
      <w:r>
        <w:rPr>
          <w:rFonts w:ascii="楷体" w:hAnsi="楷体" w:eastAsia="楷体"/>
          <w:b/>
          <w:bCs/>
          <w:sz w:val="24"/>
          <w:szCs w:val="24"/>
        </w:rPr>
        <w:t>2.</w:t>
      </w:r>
      <w:r>
        <w:rPr>
          <w:rFonts w:hint="eastAsia" w:ascii="楷体" w:hAnsi="楷体" w:eastAsia="楷体"/>
          <w:b/>
          <w:bCs/>
          <w:sz w:val="24"/>
          <w:szCs w:val="24"/>
        </w:rPr>
        <w:t>除以下情形外，管理人不得暂停接受投资者的赎回申请或延缓支付赎回款项：</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（1）不可抗力的原因导致管理人不能支付赎回款项</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（2）触发巨额赎回条款</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（3）发生《理财产品说明书》约定的暂停估值的情形。</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（4）当接受某笔或某些赎回申请可能对存量理财计划份额持有人利益构成潜在重大不利影响时。</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（5）发生单个投资者单个开放日申请赎回理财计划份额超过理财产品总份额10%的情形。</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（6）法律、法规规定认定的其他情形。</w:t>
      </w:r>
    </w:p>
    <w:p>
      <w:pPr>
        <w:numPr>
          <w:ilvl w:val="0"/>
          <w:numId w:val="0"/>
        </w:numPr>
        <w:tabs>
          <w:tab w:val="left" w:pos="728"/>
        </w:tabs>
        <w:ind w:firstLine="480" w:firstLineChars="200"/>
        <w:rPr>
          <w:rFonts w:hint="eastAsia" w:ascii="楷体" w:hAnsi="楷体" w:eastAsia="楷体" w:cs="Calibri"/>
          <w:sz w:val="24"/>
          <w:szCs w:val="24"/>
        </w:rPr>
      </w:pPr>
      <w:r>
        <w:rPr>
          <w:rFonts w:hint="eastAsia" w:ascii="楷体" w:hAnsi="楷体" w:eastAsia="楷体" w:cs="Calibri"/>
          <w:sz w:val="24"/>
          <w:szCs w:val="24"/>
        </w:rPr>
        <w:t>若管理人决定</w:t>
      </w:r>
      <w:r>
        <w:rPr>
          <w:rFonts w:hint="eastAsia" w:ascii="楷体" w:hAnsi="楷体" w:eastAsia="楷体"/>
          <w:sz w:val="24"/>
          <w:szCs w:val="24"/>
        </w:rPr>
        <w:t>暂停接受投资者的赎回申请或延缓支付赎回款项</w:t>
      </w:r>
      <w:r>
        <w:rPr>
          <w:rFonts w:hint="eastAsia" w:ascii="楷体" w:hAnsi="楷体" w:eastAsia="楷体" w:cs="Calibri"/>
          <w:sz w:val="24"/>
          <w:szCs w:val="24"/>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4"/>
          <w:szCs w:val="24"/>
        </w:rPr>
        <w:t>暂停接受投资者的赎回申请或延缓支付赎回款项的情况消除后</w:t>
      </w:r>
      <w:r>
        <w:rPr>
          <w:rFonts w:hint="eastAsia" w:ascii="楷体" w:hAnsi="楷体" w:eastAsia="楷体" w:cs="Calibri"/>
          <w:sz w:val="24"/>
          <w:szCs w:val="24"/>
        </w:rPr>
        <w:t>，管理人将及时恢复申购业务的办理。</w:t>
      </w:r>
    </w:p>
    <w:p>
      <w:pPr>
        <w:numPr>
          <w:ilvl w:val="0"/>
          <w:numId w:val="3"/>
        </w:numPr>
        <w:tabs>
          <w:tab w:val="left" w:pos="1428"/>
        </w:tabs>
        <w:ind w:firstLine="562" w:firstLineChars="200"/>
        <w:outlineLvl w:val="0"/>
        <w:rPr>
          <w:rFonts w:ascii="楷体" w:hAnsi="楷体" w:eastAsia="楷体"/>
          <w:b/>
          <w:sz w:val="28"/>
          <w:szCs w:val="28"/>
        </w:rPr>
      </w:pPr>
      <w:r>
        <w:rPr>
          <w:rFonts w:hint="eastAsia" w:ascii="楷体" w:hAnsi="楷体" w:eastAsia="楷体"/>
          <w:b/>
          <w:sz w:val="28"/>
          <w:szCs w:val="28"/>
        </w:rPr>
        <w:t>产品估值</w:t>
      </w:r>
    </w:p>
    <w:p>
      <w:pPr>
        <w:numPr>
          <w:ilvl w:val="0"/>
          <w:numId w:val="19"/>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估值对象</w:t>
      </w:r>
    </w:p>
    <w:p>
      <w:pPr>
        <w:ind w:firstLine="480" w:firstLineChars="200"/>
        <w:rPr>
          <w:rFonts w:ascii="楷体" w:hAnsi="楷体" w:eastAsia="楷体"/>
          <w:sz w:val="24"/>
          <w:szCs w:val="24"/>
        </w:rPr>
      </w:pPr>
      <w:r>
        <w:rPr>
          <w:rFonts w:hint="eastAsia" w:ascii="楷体" w:hAnsi="楷体" w:eastAsia="楷体"/>
          <w:sz w:val="24"/>
          <w:szCs w:val="24"/>
        </w:rPr>
        <w:t>本产品所拥有的各类证券、银行存款、应收款项及其它资产及负债。</w:t>
      </w:r>
    </w:p>
    <w:p>
      <w:pPr>
        <w:numPr>
          <w:ilvl w:val="0"/>
          <w:numId w:val="19"/>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估值要求</w:t>
      </w:r>
    </w:p>
    <w:p>
      <w:pPr>
        <w:numPr>
          <w:ilvl w:val="0"/>
          <w:numId w:val="20"/>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本产品资产估值的目的是客观、准确的反映资产净值，确定理财产品资产净值，并为理财产品的</w:t>
      </w:r>
      <w:r>
        <w:rPr>
          <w:rFonts w:hint="eastAsia" w:ascii="楷体" w:hAnsi="楷体" w:eastAsia="楷体" w:cs="Calibri"/>
          <w:sz w:val="24"/>
          <w:szCs w:val="24"/>
          <w:lang w:val="en-US" w:eastAsia="zh-CN"/>
        </w:rPr>
        <w:t>申购、赎回和</w:t>
      </w:r>
      <w:r>
        <w:rPr>
          <w:rFonts w:hint="eastAsia" w:ascii="楷体" w:hAnsi="楷体" w:eastAsia="楷体" w:cs="Calibri"/>
          <w:sz w:val="24"/>
          <w:szCs w:val="24"/>
        </w:rPr>
        <w:t>兑付提供计价依据。</w:t>
      </w:r>
    </w:p>
    <w:p>
      <w:pPr>
        <w:numPr>
          <w:ilvl w:val="0"/>
          <w:numId w:val="20"/>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本产品单位净值精确到小数点后6位，小数点6位后截位。</w:t>
      </w:r>
    </w:p>
    <w:p>
      <w:pPr>
        <w:numPr>
          <w:ilvl w:val="0"/>
          <w:numId w:val="20"/>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本产品每日估值，存续期内每周按说明书约定方式披露单位净值，每个开放日结束后2个工作日内通过本理财产品说明书约定方式披露上一投资周期终止日的单位净值、份额累计净值、认</w:t>
      </w:r>
      <w:r>
        <w:rPr>
          <w:rFonts w:hint="eastAsia" w:ascii="楷体" w:hAnsi="楷体" w:eastAsia="楷体" w:cs="Calibri"/>
          <w:sz w:val="24"/>
          <w:szCs w:val="24"/>
          <w:lang w:val="en-US" w:eastAsia="zh-CN"/>
        </w:rPr>
        <w:t>/申</w:t>
      </w:r>
      <w:r>
        <w:rPr>
          <w:rFonts w:hint="eastAsia" w:ascii="楷体" w:hAnsi="楷体" w:eastAsia="楷体" w:cs="Calibri"/>
          <w:sz w:val="24"/>
          <w:szCs w:val="24"/>
        </w:rPr>
        <w:t>购价格和赎回价格。</w:t>
      </w:r>
    </w:p>
    <w:p>
      <w:pPr>
        <w:numPr>
          <w:ilvl w:val="0"/>
          <w:numId w:val="19"/>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估值方法</w:t>
      </w:r>
    </w:p>
    <w:p>
      <w:pPr>
        <w:numPr>
          <w:ilvl w:val="0"/>
          <w:numId w:val="21"/>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存款类资产、货币市场工具：以本金列示，逐日计提利息。</w:t>
      </w:r>
    </w:p>
    <w:p>
      <w:pPr>
        <w:numPr>
          <w:ilvl w:val="0"/>
          <w:numId w:val="21"/>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货币市场基金：以估值截止时间点能够取得的最新每万份收益进行估值。</w:t>
      </w:r>
    </w:p>
    <w:p>
      <w:pPr>
        <w:numPr>
          <w:ilvl w:val="0"/>
          <w:numId w:val="21"/>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债券类资产：按公允价值进行估值，采用市价、第三方估值机构提供的估值价格、合理的估值技术或监管机构认可的其他估值方法进行估值。</w:t>
      </w:r>
    </w:p>
    <w:p>
      <w:pPr>
        <w:numPr>
          <w:ilvl w:val="0"/>
          <w:numId w:val="21"/>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债权类资产：按公允价值进行估值，采用合理的估值技术或监管机构认可的估值方法进行估值。</w:t>
      </w:r>
    </w:p>
    <w:p>
      <w:pPr>
        <w:numPr>
          <w:ilvl w:val="0"/>
          <w:numId w:val="21"/>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证券、基金、保险等资产管理计划和信托计划等资产（不含货币市场基金）：按照证券、基金、保险等资产管理计划和信托计划的管理人和托管人共同确认的最新净值或投资收益进行估值。</w:t>
      </w:r>
    </w:p>
    <w:p>
      <w:pPr>
        <w:numPr>
          <w:ilvl w:val="0"/>
          <w:numId w:val="21"/>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其他资产：按公允价值进行估值，采用合理的估值技术或监管机构认可的估值方法进行估值。</w:t>
      </w:r>
    </w:p>
    <w:p>
      <w:pPr>
        <w:ind w:firstLine="480" w:firstLineChars="200"/>
        <w:rPr>
          <w:rFonts w:hint="eastAsia" w:ascii="楷体" w:hAnsi="楷体" w:eastAsia="楷体"/>
          <w:sz w:val="24"/>
          <w:szCs w:val="24"/>
        </w:rPr>
      </w:pPr>
      <w:r>
        <w:rPr>
          <w:rFonts w:hint="eastAsia" w:ascii="楷体" w:hAnsi="楷体" w:eastAsia="楷体"/>
          <w:sz w:val="24"/>
          <w:szCs w:val="24"/>
        </w:rPr>
        <w:t>如有新增事项或变更事项，按国家最新规定或管理人最新约定进行估值。</w:t>
      </w:r>
    </w:p>
    <w:p>
      <w:pPr>
        <w:numPr>
          <w:ilvl w:val="0"/>
          <w:numId w:val="19"/>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估值错误的处理</w:t>
      </w:r>
    </w:p>
    <w:p>
      <w:pPr>
        <w:ind w:firstLine="480" w:firstLineChars="200"/>
        <w:rPr>
          <w:rFonts w:ascii="楷体" w:hAnsi="楷体" w:eastAsia="楷体"/>
          <w:sz w:val="24"/>
          <w:szCs w:val="24"/>
        </w:rPr>
      </w:pPr>
      <w:r>
        <w:rPr>
          <w:rFonts w:hint="eastAsia" w:ascii="楷体" w:hAnsi="楷体" w:eastAsia="楷体"/>
          <w:sz w:val="24"/>
          <w:szCs w:val="24"/>
        </w:rPr>
        <w:t>产品管理人和产品托管人将采取必要、适当合理的措施确保产品资产估值的准确性、及时性。当产品单位净值出现错误时，产品管理人应当立即予以纠正，并采取合理的措施防止损失进一步扩大。</w:t>
      </w:r>
      <w:r>
        <w:rPr>
          <w:rFonts w:hint="eastAsia" w:ascii="楷体" w:hAnsi="楷体" w:eastAsia="楷体"/>
          <w:sz w:val="24"/>
          <w:szCs w:val="24"/>
          <w:highlight w:val="none"/>
        </w:rPr>
        <w:t>由于证券交易所、期货交易所、第三方估值机构、登记机构、资管计划管理人等发送数据错误等非理财产品管理人和托管人原因，或由于其它不可抗力原因</w:t>
      </w:r>
      <w:r>
        <w:rPr>
          <w:rFonts w:hint="eastAsia" w:ascii="楷体" w:hAnsi="楷体" w:eastAsia="楷体"/>
          <w:sz w:val="24"/>
          <w:szCs w:val="24"/>
        </w:rPr>
        <w:t>，产品管理人和产品托管人虽然已采取必要、适当、合理的措施进行检查，但是未能发现该错误的，由此造成的产品估值错误，产品管理人和产品托管人免除赔偿责任。但产品管理人和产品托管人应当积极采取必要的措施消除由此造成的影响。</w:t>
      </w:r>
    </w:p>
    <w:p>
      <w:pPr>
        <w:numPr>
          <w:ilvl w:val="0"/>
          <w:numId w:val="19"/>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暂停估值</w:t>
      </w:r>
    </w:p>
    <w:p>
      <w:pPr>
        <w:ind w:firstLine="480" w:firstLineChars="200"/>
        <w:rPr>
          <w:rFonts w:hint="eastAsia" w:ascii="楷体" w:hAnsi="楷体" w:eastAsia="楷体"/>
          <w:sz w:val="24"/>
          <w:szCs w:val="24"/>
        </w:rPr>
      </w:pPr>
      <w:r>
        <w:rPr>
          <w:rFonts w:hint="eastAsia" w:ascii="楷体" w:hAnsi="楷体" w:eastAsia="楷体"/>
          <w:sz w:val="24"/>
          <w:szCs w:val="24"/>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3"/>
        </w:numPr>
        <w:tabs>
          <w:tab w:val="left" w:pos="1428"/>
        </w:tabs>
        <w:ind w:firstLine="562" w:firstLineChars="200"/>
        <w:outlineLvl w:val="0"/>
        <w:rPr>
          <w:rFonts w:hint="eastAsia" w:ascii="楷体" w:hAnsi="楷体" w:eastAsia="楷体"/>
          <w:b/>
          <w:sz w:val="28"/>
          <w:szCs w:val="28"/>
        </w:rPr>
      </w:pPr>
      <w:r>
        <w:rPr>
          <w:rFonts w:hint="eastAsia" w:ascii="楷体" w:hAnsi="楷体" w:eastAsia="楷体"/>
          <w:b/>
          <w:sz w:val="28"/>
          <w:szCs w:val="28"/>
        </w:rPr>
        <w:t>产品的终止与清算</w:t>
      </w:r>
    </w:p>
    <w:p>
      <w:pPr>
        <w:numPr>
          <w:ilvl w:val="0"/>
          <w:numId w:val="22"/>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理财产品的终止</w:t>
      </w:r>
    </w:p>
    <w:p>
      <w:pPr>
        <w:numPr>
          <w:ilvl w:val="0"/>
          <w:numId w:val="23"/>
        </w:numPr>
        <w:tabs>
          <w:tab w:val="left" w:pos="728"/>
        </w:tabs>
        <w:ind w:left="0" w:firstLine="480" w:firstLineChars="200"/>
        <w:outlineLvl w:val="2"/>
        <w:rPr>
          <w:rFonts w:hint="eastAsia" w:ascii="楷体" w:hAnsi="楷体" w:eastAsia="楷体" w:cs="Calibri"/>
          <w:sz w:val="24"/>
          <w:szCs w:val="24"/>
        </w:rPr>
      </w:pPr>
      <w:r>
        <w:rPr>
          <w:rFonts w:hint="eastAsia" w:ascii="楷体" w:hAnsi="楷体" w:eastAsia="楷体" w:cs="Calibri"/>
          <w:sz w:val="24"/>
          <w:szCs w:val="24"/>
        </w:rPr>
        <w:t>提前终止</w:t>
      </w:r>
    </w:p>
    <w:p>
      <w:pPr>
        <w:ind w:firstLine="480" w:firstLineChars="200"/>
        <w:rPr>
          <w:rFonts w:hint="eastAsia" w:ascii="楷体" w:hAnsi="楷体" w:eastAsia="楷体"/>
          <w:sz w:val="24"/>
          <w:szCs w:val="24"/>
        </w:rPr>
      </w:pPr>
      <w:r>
        <w:rPr>
          <w:rFonts w:hint="eastAsia" w:ascii="楷体" w:hAnsi="楷体" w:eastAsia="楷体"/>
          <w:sz w:val="24"/>
          <w:szCs w:val="24"/>
        </w:rPr>
        <w:t>在理财产品投资运作期间内，投资者无权要求提前终止该理财产品。在理财产品投资运作期间内，当出现下列情形之一时，产品管理人有权部分或全部终止本产品：</w:t>
      </w:r>
    </w:p>
    <w:p>
      <w:pPr>
        <w:numPr>
          <w:ilvl w:val="0"/>
          <w:numId w:val="24"/>
        </w:numPr>
        <w:tabs>
          <w:tab w:val="left" w:pos="1092"/>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因不可抗力原因导致理财产品无法继续运作。</w:t>
      </w:r>
    </w:p>
    <w:p>
      <w:pPr>
        <w:numPr>
          <w:ilvl w:val="0"/>
          <w:numId w:val="24"/>
        </w:numPr>
        <w:tabs>
          <w:tab w:val="left" w:pos="1092"/>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因法律法规变化或国家金融政策调整、紧急措施出台影响产品继续正常运作。</w:t>
      </w:r>
    </w:p>
    <w:p>
      <w:pPr>
        <w:numPr>
          <w:ilvl w:val="0"/>
          <w:numId w:val="24"/>
        </w:numPr>
        <w:tabs>
          <w:tab w:val="left" w:pos="1092"/>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法律法规规定或监管部门认定的其他情形。</w:t>
      </w:r>
    </w:p>
    <w:p>
      <w:pPr>
        <w:numPr>
          <w:ilvl w:val="0"/>
          <w:numId w:val="0"/>
        </w:numPr>
        <w:tabs>
          <w:tab w:val="left" w:pos="1092"/>
        </w:tabs>
        <w:ind w:firstLine="480" w:firstLineChars="200"/>
        <w:rPr>
          <w:rFonts w:hint="eastAsia" w:ascii="楷体" w:hAnsi="楷体" w:eastAsia="楷体" w:cs="Calibri"/>
          <w:sz w:val="24"/>
          <w:szCs w:val="24"/>
        </w:rPr>
      </w:pPr>
      <w:r>
        <w:rPr>
          <w:rFonts w:hint="eastAsia" w:ascii="楷体" w:hAnsi="楷体" w:eastAsia="楷体"/>
          <w:sz w:val="24"/>
          <w:szCs w:val="24"/>
          <w:lang w:val="en-US" w:eastAsia="zh-CN"/>
        </w:rPr>
        <w:t>理财产品不因投资者死亡、丧失民事行为能力、破产等原因而终止。投资者因各种原因无法继续履行合同的，投资者的法定继承人、承继人、指定受益人或继任管理人等合法主体承担原投资者在本理财产品合同中相应的全部权利与义务。</w:t>
      </w:r>
    </w:p>
    <w:p>
      <w:pPr>
        <w:ind w:firstLine="480" w:firstLineChars="200"/>
        <w:rPr>
          <w:rFonts w:hint="eastAsia" w:ascii="楷体" w:hAnsi="楷体" w:eastAsia="楷体"/>
          <w:sz w:val="24"/>
          <w:szCs w:val="24"/>
        </w:rPr>
      </w:pPr>
      <w:r>
        <w:rPr>
          <w:rFonts w:hint="eastAsia" w:ascii="楷体" w:hAnsi="楷体" w:eastAsia="楷体"/>
          <w:sz w:val="24"/>
          <w:szCs w:val="24"/>
        </w:rPr>
        <w:t>如理财产品管理人提前终止本理财产品，将至少提前</w:t>
      </w:r>
      <w:r>
        <w:rPr>
          <w:rFonts w:ascii="楷体" w:hAnsi="楷体" w:eastAsia="楷体"/>
          <w:sz w:val="24"/>
          <w:szCs w:val="24"/>
        </w:rPr>
        <w:t>2</w:t>
      </w:r>
      <w:r>
        <w:rPr>
          <w:rFonts w:hint="eastAsia" w:ascii="楷体" w:hAnsi="楷体" w:eastAsia="楷体"/>
          <w:sz w:val="24"/>
          <w:szCs w:val="24"/>
        </w:rPr>
        <w:t>个工作日（含）按本理财产品说明书约定的信息披露方式予以披露。</w:t>
      </w:r>
    </w:p>
    <w:p>
      <w:pPr>
        <w:numPr>
          <w:ilvl w:val="0"/>
          <w:numId w:val="23"/>
        </w:numPr>
        <w:tabs>
          <w:tab w:val="left" w:pos="728"/>
        </w:tabs>
        <w:ind w:left="0" w:firstLine="480" w:firstLineChars="200"/>
        <w:outlineLvl w:val="2"/>
        <w:rPr>
          <w:rFonts w:hint="eastAsia" w:ascii="楷体" w:hAnsi="楷体" w:eastAsia="楷体" w:cs="Calibri"/>
          <w:b w:val="0"/>
          <w:color w:val="auto"/>
          <w:sz w:val="24"/>
          <w:szCs w:val="24"/>
        </w:rPr>
      </w:pPr>
      <w:r>
        <w:rPr>
          <w:rFonts w:hint="eastAsia" w:ascii="楷体" w:hAnsi="楷体" w:eastAsia="楷体" w:cs="Calibri"/>
          <w:b w:val="0"/>
          <w:color w:val="auto"/>
          <w:sz w:val="24"/>
          <w:szCs w:val="24"/>
          <w:lang w:val="en-US" w:eastAsia="zh-CN"/>
        </w:rPr>
        <w:t>正常兑付</w:t>
      </w:r>
    </w:p>
    <w:p>
      <w:pPr>
        <w:ind w:firstLine="480" w:firstLineChars="200"/>
        <w:rPr>
          <w:rFonts w:hint="eastAsia" w:ascii="楷体" w:hAnsi="楷体" w:eastAsia="楷体"/>
          <w:sz w:val="24"/>
          <w:szCs w:val="24"/>
        </w:rPr>
      </w:pPr>
      <w:r>
        <w:rPr>
          <w:rFonts w:hint="eastAsia" w:ascii="楷体" w:hAnsi="楷体" w:eastAsia="楷体"/>
          <w:sz w:val="24"/>
          <w:szCs w:val="24"/>
          <w:lang w:val="en-US" w:eastAsia="zh-CN"/>
        </w:rPr>
        <w:t>投资者持有本理财产品至产品到期日，投资者的投资本金和收益（如有）将在产品到期后一次性支付。理财产品正常终止并兑付的，投资者的投资本金和收益（如有）将于产品到期日后5个工作日以内划至投资者指定账户，如遇法定节假日或公休日则相应顺延。产品到期日至资金实际到账日之间，投资者资金不计息。</w:t>
      </w:r>
    </w:p>
    <w:p>
      <w:pPr>
        <w:numPr>
          <w:ilvl w:val="0"/>
          <w:numId w:val="23"/>
        </w:numPr>
        <w:tabs>
          <w:tab w:val="left" w:pos="728"/>
        </w:tabs>
        <w:ind w:left="0" w:firstLine="480" w:firstLineChars="200"/>
        <w:outlineLvl w:val="2"/>
        <w:rPr>
          <w:rFonts w:hint="eastAsia" w:ascii="楷体" w:hAnsi="楷体" w:eastAsia="楷体" w:cs="Calibri"/>
          <w:sz w:val="24"/>
          <w:szCs w:val="24"/>
        </w:rPr>
      </w:pPr>
      <w:r>
        <w:rPr>
          <w:rFonts w:hint="eastAsia" w:ascii="楷体" w:hAnsi="楷体" w:eastAsia="楷体" w:cs="Calibri"/>
          <w:sz w:val="24"/>
          <w:szCs w:val="24"/>
        </w:rPr>
        <w:t>★延期兑付</w:t>
      </w:r>
    </w:p>
    <w:p>
      <w:pPr>
        <w:ind w:firstLine="480" w:firstLineChars="200"/>
        <w:rPr>
          <w:rFonts w:ascii="楷体" w:hAnsi="楷体" w:eastAsia="楷体"/>
          <w:sz w:val="24"/>
          <w:szCs w:val="24"/>
        </w:rPr>
      </w:pPr>
      <w:r>
        <w:rPr>
          <w:rFonts w:hint="eastAsia" w:ascii="楷体" w:hAnsi="楷体" w:eastAsia="楷体"/>
          <w:sz w:val="24"/>
          <w:szCs w:val="24"/>
        </w:rPr>
        <w:t>出现以下情况，产品管理人有权延长本理财产品的终止日：</w:t>
      </w:r>
    </w:p>
    <w:p>
      <w:pPr>
        <w:numPr>
          <w:ilvl w:val="0"/>
          <w:numId w:val="25"/>
        </w:numPr>
        <w:tabs>
          <w:tab w:val="left" w:pos="1092"/>
        </w:tabs>
        <w:ind w:left="0" w:firstLine="480" w:firstLineChars="200"/>
        <w:rPr>
          <w:rFonts w:ascii="楷体" w:hAnsi="楷体" w:eastAsia="楷体" w:cs="Calibri"/>
          <w:sz w:val="24"/>
          <w:szCs w:val="24"/>
        </w:rPr>
      </w:pPr>
      <w:r>
        <w:rPr>
          <w:rFonts w:hint="eastAsia" w:ascii="楷体" w:hAnsi="楷体" w:eastAsia="楷体" w:cs="Calibri"/>
          <w:sz w:val="24"/>
          <w:szCs w:val="24"/>
        </w:rPr>
        <w:t>产品终止日遇非工作日则顺延至下一工作日，投资者清算资金到账日将相应调整；</w:t>
      </w:r>
    </w:p>
    <w:p>
      <w:pPr>
        <w:numPr>
          <w:ilvl w:val="0"/>
          <w:numId w:val="25"/>
        </w:numPr>
        <w:tabs>
          <w:tab w:val="left" w:pos="1092"/>
        </w:tabs>
        <w:ind w:left="0" w:firstLine="480" w:firstLineChars="200"/>
        <w:rPr>
          <w:rFonts w:ascii="楷体" w:hAnsi="楷体" w:eastAsia="楷体" w:cs="Calibri"/>
          <w:sz w:val="24"/>
          <w:szCs w:val="24"/>
        </w:rPr>
      </w:pPr>
      <w:r>
        <w:rPr>
          <w:rFonts w:hint="eastAsia" w:ascii="楷体" w:hAnsi="楷体" w:eastAsia="楷体" w:cs="Calibri"/>
          <w:sz w:val="24"/>
          <w:szCs w:val="24"/>
        </w:rPr>
        <w:t>因不可抗力</w:t>
      </w:r>
      <w:r>
        <w:rPr>
          <w:rFonts w:hint="eastAsia" w:ascii="楷体" w:hAnsi="楷体" w:eastAsia="楷体" w:cs="Calibri"/>
          <w:sz w:val="24"/>
          <w:szCs w:val="24"/>
          <w:lang w:eastAsia="zh-CN"/>
        </w:rPr>
        <w:t>、</w:t>
      </w:r>
      <w:r>
        <w:rPr>
          <w:rFonts w:hint="eastAsia" w:ascii="楷体" w:hAnsi="楷体" w:eastAsia="楷体" w:cs="Calibri"/>
          <w:sz w:val="24"/>
          <w:szCs w:val="24"/>
          <w:lang w:val="en-US" w:eastAsia="zh-CN"/>
        </w:rPr>
        <w:t>市场发生重大变化等</w:t>
      </w:r>
      <w:r>
        <w:rPr>
          <w:rFonts w:hint="eastAsia" w:ascii="楷体" w:hAnsi="楷体" w:eastAsia="楷体" w:cs="Calibri"/>
          <w:sz w:val="24"/>
          <w:szCs w:val="24"/>
        </w:rPr>
        <w:t>原因导致产品项下对应的投资标的无法及时变现</w:t>
      </w:r>
      <w:r>
        <w:rPr>
          <w:rFonts w:hint="eastAsia" w:ascii="楷体" w:hAnsi="楷体" w:eastAsia="楷体" w:cs="Calibri"/>
          <w:sz w:val="24"/>
          <w:szCs w:val="24"/>
          <w:lang w:eastAsia="zh-CN"/>
        </w:rPr>
        <w:t>、</w:t>
      </w:r>
      <w:r>
        <w:rPr>
          <w:rFonts w:hint="eastAsia" w:ascii="楷体" w:hAnsi="楷体" w:eastAsia="楷体" w:cs="Calibri"/>
          <w:sz w:val="24"/>
          <w:szCs w:val="24"/>
          <w:lang w:val="en-US" w:eastAsia="zh-CN"/>
        </w:rPr>
        <w:t>无法</w:t>
      </w:r>
      <w:r>
        <w:rPr>
          <w:rFonts w:hint="eastAsia" w:ascii="楷体" w:hAnsi="楷体" w:eastAsia="楷体" w:cs="Calibri"/>
          <w:sz w:val="24"/>
          <w:szCs w:val="24"/>
        </w:rPr>
        <w:t>及时收回资金；</w:t>
      </w:r>
    </w:p>
    <w:p>
      <w:pPr>
        <w:numPr>
          <w:ilvl w:val="0"/>
          <w:numId w:val="25"/>
        </w:numPr>
        <w:tabs>
          <w:tab w:val="left" w:pos="1092"/>
        </w:tabs>
        <w:ind w:left="0" w:firstLine="480" w:firstLineChars="200"/>
        <w:rPr>
          <w:rFonts w:ascii="楷体" w:hAnsi="楷体" w:eastAsia="楷体" w:cs="Calibri"/>
          <w:sz w:val="24"/>
          <w:szCs w:val="24"/>
        </w:rPr>
      </w:pPr>
      <w:r>
        <w:rPr>
          <w:rFonts w:hint="eastAsia" w:ascii="楷体" w:hAnsi="楷体" w:eastAsia="楷体" w:cs="Calibri"/>
          <w:color w:val="auto"/>
          <w:sz w:val="24"/>
          <w:szCs w:val="24"/>
        </w:rPr>
        <w:t>法律法规规定或监管部门认定的其他情形</w:t>
      </w:r>
      <w:r>
        <w:rPr>
          <w:rFonts w:hint="eastAsia" w:ascii="楷体" w:hAnsi="楷体" w:eastAsia="楷体" w:cs="Calibri"/>
          <w:sz w:val="24"/>
          <w:szCs w:val="24"/>
        </w:rPr>
        <w:t>。</w:t>
      </w:r>
    </w:p>
    <w:p>
      <w:pPr>
        <w:ind w:firstLine="480" w:firstLineChars="200"/>
        <w:rPr>
          <w:rFonts w:hint="eastAsia" w:ascii="楷体" w:hAnsi="楷体" w:eastAsia="楷体"/>
          <w:sz w:val="24"/>
          <w:szCs w:val="24"/>
        </w:rPr>
      </w:pPr>
      <w:r>
        <w:rPr>
          <w:rFonts w:hint="eastAsia" w:ascii="楷体" w:hAnsi="楷体" w:eastAsia="楷体"/>
          <w:sz w:val="24"/>
          <w:szCs w:val="24"/>
        </w:rPr>
        <w:t>产品管理人决定延期兑付的，将至少提前</w:t>
      </w:r>
      <w:r>
        <w:rPr>
          <w:rFonts w:ascii="楷体" w:hAnsi="楷体" w:eastAsia="楷体"/>
          <w:sz w:val="24"/>
          <w:szCs w:val="24"/>
        </w:rPr>
        <w:t>2</w:t>
      </w:r>
      <w:r>
        <w:rPr>
          <w:rFonts w:hint="eastAsia" w:ascii="楷体" w:hAnsi="楷体" w:eastAsia="楷体"/>
          <w:sz w:val="24"/>
          <w:szCs w:val="24"/>
        </w:rPr>
        <w:t>个工作日（含）按本理财产品说明书约定的信息披露方式予以披露。</w:t>
      </w:r>
    </w:p>
    <w:p>
      <w:pPr>
        <w:numPr>
          <w:ilvl w:val="0"/>
          <w:numId w:val="22"/>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理财产品的清算</w:t>
      </w:r>
    </w:p>
    <w:p>
      <w:pPr>
        <w:numPr>
          <w:ilvl w:val="0"/>
          <w:numId w:val="2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自本理财产品终止日至投资者理财本金及收益到账日之间为本理财产品的清算期。清算期不计算利息或投资收益。清算期原则上不得超过5个工作日，清算期超过5个工作日的，将依约定进行公告。</w:t>
      </w:r>
    </w:p>
    <w:p>
      <w:pPr>
        <w:numPr>
          <w:ilvl w:val="0"/>
          <w:numId w:val="2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产品管理人将依照合同约定公布提前终止日并明确兑付日（一般为提前终止日之后的三个工作日以内）。产品管理人应将投资者理财资金于兑付日（遇节假日顺延）内划转至投资者资金账户。理财产品提前终止日（含当日）至兑付日之间，投资者资金不计息。</w:t>
      </w:r>
    </w:p>
    <w:p>
      <w:pPr>
        <w:numPr>
          <w:ilvl w:val="0"/>
          <w:numId w:val="3"/>
        </w:numPr>
        <w:tabs>
          <w:tab w:val="left" w:pos="1428"/>
        </w:tabs>
        <w:ind w:firstLine="562" w:firstLineChars="200"/>
        <w:outlineLvl w:val="0"/>
        <w:rPr>
          <w:rFonts w:ascii="楷体" w:hAnsi="楷体" w:eastAsia="楷体"/>
          <w:b/>
          <w:sz w:val="28"/>
          <w:szCs w:val="28"/>
        </w:rPr>
      </w:pPr>
      <w:r>
        <w:rPr>
          <w:rFonts w:hint="eastAsia" w:ascii="楷体" w:hAnsi="楷体" w:eastAsia="楷体"/>
          <w:b/>
          <w:sz w:val="28"/>
          <w:szCs w:val="28"/>
        </w:rPr>
        <w:t>产品费用</w:t>
      </w:r>
    </w:p>
    <w:p>
      <w:pPr>
        <w:numPr>
          <w:ilvl w:val="0"/>
          <w:numId w:val="27"/>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费用种类</w:t>
      </w:r>
    </w:p>
    <w:p>
      <w:pPr>
        <w:ind w:firstLine="480" w:firstLineChars="200"/>
        <w:rPr>
          <w:rFonts w:ascii="楷体" w:hAnsi="楷体" w:eastAsia="楷体"/>
          <w:sz w:val="24"/>
          <w:szCs w:val="24"/>
        </w:rPr>
      </w:pPr>
      <w:r>
        <w:rPr>
          <w:rFonts w:hint="eastAsia" w:ascii="楷体" w:hAnsi="楷体" w:eastAsia="楷体"/>
          <w:sz w:val="24"/>
          <w:szCs w:val="24"/>
        </w:rPr>
        <w:t>本产品费用包括托管费、销售服务费、投资管理费、超额业绩报酬（如有）以及产品运作和清算中产生的其他费用等。</w:t>
      </w:r>
    </w:p>
    <w:p>
      <w:pPr>
        <w:numPr>
          <w:ilvl w:val="0"/>
          <w:numId w:val="27"/>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计提方法、计提标准和支付方式</w:t>
      </w:r>
    </w:p>
    <w:p>
      <w:pPr>
        <w:numPr>
          <w:ilvl w:val="0"/>
          <w:numId w:val="2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托管费：本产品的托管费每日计提，按季支付，由托管行收取。计算方法如下：</w:t>
      </w:r>
    </w:p>
    <w:p>
      <w:pPr>
        <w:ind w:firstLine="480" w:firstLineChars="200"/>
        <w:rPr>
          <w:rFonts w:hint="eastAsia" w:ascii="楷体" w:hAnsi="楷体" w:eastAsia="楷体"/>
          <w:sz w:val="24"/>
          <w:szCs w:val="24"/>
        </w:rPr>
      </w:pPr>
      <w:r>
        <w:rPr>
          <w:rFonts w:hint="eastAsia" w:ascii="楷体" w:hAnsi="楷体" w:eastAsia="楷体"/>
          <w:sz w:val="24"/>
          <w:szCs w:val="24"/>
        </w:rPr>
        <w:t>每日应计提的托管费＝前一日的产品资产净值×托管费率÷</w:t>
      </w:r>
      <w:r>
        <w:rPr>
          <w:rFonts w:ascii="楷体" w:hAnsi="楷体" w:eastAsia="楷体"/>
          <w:sz w:val="24"/>
          <w:szCs w:val="24"/>
        </w:rPr>
        <w:t>365</w:t>
      </w:r>
    </w:p>
    <w:p>
      <w:pPr>
        <w:ind w:firstLine="480" w:firstLineChars="200"/>
        <w:rPr>
          <w:rFonts w:hint="eastAsia" w:ascii="楷体" w:hAnsi="楷体" w:eastAsia="楷体"/>
          <w:sz w:val="24"/>
          <w:szCs w:val="24"/>
        </w:rPr>
      </w:pPr>
      <w:r>
        <w:rPr>
          <w:rFonts w:hint="eastAsia" w:ascii="楷体" w:hAnsi="楷体" w:eastAsia="楷体"/>
          <w:sz w:val="24"/>
          <w:szCs w:val="24"/>
        </w:rPr>
        <w:t>四舍五入保留至小数点后两位</w:t>
      </w:r>
    </w:p>
    <w:p>
      <w:pPr>
        <w:numPr>
          <w:ilvl w:val="0"/>
          <w:numId w:val="2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销售服务费：本产品的销售服务费每日计提，按季支付，由销售机构收取。计算方法如下：</w:t>
      </w:r>
    </w:p>
    <w:p>
      <w:pPr>
        <w:ind w:firstLine="480" w:firstLineChars="200"/>
        <w:rPr>
          <w:rFonts w:hint="eastAsia" w:ascii="楷体" w:hAnsi="楷体" w:eastAsia="楷体"/>
          <w:sz w:val="24"/>
          <w:szCs w:val="24"/>
        </w:rPr>
      </w:pPr>
      <w:r>
        <w:rPr>
          <w:rFonts w:hint="eastAsia" w:ascii="楷体" w:hAnsi="楷体" w:eastAsia="楷体"/>
          <w:sz w:val="24"/>
          <w:szCs w:val="24"/>
        </w:rPr>
        <w:t>每日应计提的销售服务费＝前一日的产品资产净值×销售服务费率÷</w:t>
      </w:r>
      <w:r>
        <w:rPr>
          <w:rFonts w:ascii="楷体" w:hAnsi="楷体" w:eastAsia="楷体"/>
          <w:sz w:val="24"/>
          <w:szCs w:val="24"/>
        </w:rPr>
        <w:t>365</w:t>
      </w:r>
    </w:p>
    <w:p>
      <w:pPr>
        <w:ind w:firstLine="480" w:firstLineChars="200"/>
        <w:rPr>
          <w:rFonts w:hint="eastAsia" w:ascii="楷体" w:hAnsi="楷体" w:eastAsia="楷体"/>
          <w:sz w:val="24"/>
          <w:szCs w:val="24"/>
        </w:rPr>
      </w:pPr>
      <w:r>
        <w:rPr>
          <w:rFonts w:hint="eastAsia" w:ascii="楷体" w:hAnsi="楷体" w:eastAsia="楷体"/>
          <w:sz w:val="24"/>
          <w:szCs w:val="24"/>
        </w:rPr>
        <w:t>四舍五入保留至小数点后两位</w:t>
      </w:r>
    </w:p>
    <w:p>
      <w:pPr>
        <w:numPr>
          <w:ilvl w:val="0"/>
          <w:numId w:val="2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投资管理费：本产品的投资管理费每日计提，按</w:t>
      </w:r>
      <w:r>
        <w:rPr>
          <w:rFonts w:hint="eastAsia" w:ascii="楷体" w:hAnsi="楷体" w:eastAsia="楷体" w:cs="Calibri"/>
          <w:sz w:val="24"/>
          <w:szCs w:val="24"/>
          <w:lang w:val="en-US" w:eastAsia="zh-CN"/>
        </w:rPr>
        <w:t>月</w:t>
      </w:r>
      <w:r>
        <w:rPr>
          <w:rFonts w:hint="eastAsia" w:ascii="楷体" w:hAnsi="楷体" w:eastAsia="楷体" w:cs="Calibri"/>
          <w:sz w:val="24"/>
          <w:szCs w:val="24"/>
        </w:rPr>
        <w:t>支付，由管理人收取。计算方法如下：</w:t>
      </w:r>
    </w:p>
    <w:p>
      <w:pPr>
        <w:ind w:firstLine="480" w:firstLineChars="200"/>
        <w:rPr>
          <w:rFonts w:hint="eastAsia" w:ascii="楷体" w:hAnsi="楷体" w:eastAsia="楷体"/>
          <w:sz w:val="24"/>
          <w:szCs w:val="24"/>
        </w:rPr>
      </w:pPr>
      <w:r>
        <w:rPr>
          <w:rFonts w:hint="eastAsia" w:ascii="楷体" w:hAnsi="楷体" w:eastAsia="楷体"/>
          <w:sz w:val="24"/>
          <w:szCs w:val="24"/>
        </w:rPr>
        <w:t>每日应计提的投资管理费＝前一日的产品资产净值×投资管理费率÷</w:t>
      </w:r>
      <w:r>
        <w:rPr>
          <w:rFonts w:ascii="楷体" w:hAnsi="楷体" w:eastAsia="楷体"/>
          <w:sz w:val="24"/>
          <w:szCs w:val="24"/>
        </w:rPr>
        <w:t>365</w:t>
      </w:r>
    </w:p>
    <w:p>
      <w:pPr>
        <w:ind w:firstLine="480" w:firstLineChars="200"/>
        <w:rPr>
          <w:rFonts w:hint="eastAsia" w:ascii="楷体" w:hAnsi="楷体" w:eastAsia="楷体"/>
          <w:sz w:val="24"/>
          <w:szCs w:val="24"/>
        </w:rPr>
      </w:pPr>
      <w:r>
        <w:rPr>
          <w:rFonts w:hint="eastAsia" w:ascii="楷体" w:hAnsi="楷体" w:eastAsia="楷体"/>
          <w:sz w:val="24"/>
          <w:szCs w:val="24"/>
        </w:rPr>
        <w:t>四舍五入保留至小数点后两位</w:t>
      </w:r>
    </w:p>
    <w:p>
      <w:pPr>
        <w:numPr>
          <w:ilvl w:val="0"/>
          <w:numId w:val="28"/>
        </w:numPr>
        <w:tabs>
          <w:tab w:val="left" w:pos="728"/>
        </w:tabs>
        <w:ind w:left="0" w:firstLine="480" w:firstLineChars="200"/>
        <w:rPr>
          <w:rFonts w:ascii="楷体" w:hAnsi="楷体" w:eastAsia="楷体"/>
          <w:sz w:val="24"/>
          <w:szCs w:val="24"/>
        </w:rPr>
      </w:pPr>
      <w:r>
        <w:rPr>
          <w:rFonts w:hint="eastAsia" w:ascii="楷体" w:hAnsi="楷体" w:eastAsia="楷体"/>
          <w:sz w:val="24"/>
          <w:szCs w:val="24"/>
        </w:rPr>
        <w:t>超额业绩报酬：本产品设立业绩比较基准（产品管理人可根据市场情况等调整业绩比较基准，并至少于新的业绩比较基准启用日之前2个工作日进行公告），管理人按投资周期收取超额业绩报酬。若单一投资周期各份额实际投资收益在扣除托管费、销售服务费、投资管理费以及运作产品所必须缴纳的税费后超过各份额业绩比较基准</w:t>
      </w:r>
      <w:r>
        <w:rPr>
          <w:rFonts w:hint="eastAsia" w:ascii="楷体" w:hAnsi="楷体" w:eastAsia="楷体"/>
          <w:sz w:val="24"/>
          <w:szCs w:val="24"/>
          <w:lang w:val="en-US" w:eastAsia="zh-CN"/>
        </w:rPr>
        <w:t>上限</w:t>
      </w:r>
      <w:r>
        <w:rPr>
          <w:rFonts w:hint="eastAsia" w:ascii="楷体" w:hAnsi="楷体" w:eastAsia="楷体"/>
          <w:sz w:val="24"/>
          <w:szCs w:val="24"/>
        </w:rPr>
        <w:t>，则该投资周期终止日后管理人将按照超出部分的</w:t>
      </w:r>
      <w:r>
        <w:rPr>
          <w:rFonts w:hint="eastAsia" w:ascii="楷体" w:hAnsi="楷体" w:eastAsia="楷体"/>
          <w:sz w:val="24"/>
          <w:szCs w:val="24"/>
          <w:lang w:val="en-US" w:eastAsia="zh-CN"/>
        </w:rPr>
        <w:t>50</w:t>
      </w:r>
      <w:r>
        <w:rPr>
          <w:rFonts w:hint="eastAsia" w:ascii="楷体" w:hAnsi="楷体" w:eastAsia="楷体"/>
          <w:sz w:val="24"/>
          <w:szCs w:val="24"/>
        </w:rPr>
        <w:t>%收取超额业绩报酬。</w:t>
      </w:r>
    </w:p>
    <w:p>
      <w:pPr>
        <w:numPr>
          <w:ilvl w:val="0"/>
          <w:numId w:val="0"/>
        </w:numPr>
        <w:tabs>
          <w:tab w:val="left" w:pos="728"/>
        </w:tabs>
        <w:ind w:firstLine="480" w:firstLineChars="200"/>
        <w:rPr>
          <w:rFonts w:ascii="楷体" w:hAnsi="楷体" w:eastAsia="楷体"/>
          <w:sz w:val="24"/>
          <w:szCs w:val="24"/>
        </w:rPr>
      </w:pPr>
      <w:r>
        <w:rPr>
          <w:rFonts w:hint="eastAsia" w:ascii="楷体" w:hAnsi="楷体" w:eastAsia="楷体"/>
          <w:sz w:val="24"/>
          <w:szCs w:val="24"/>
        </w:rPr>
        <w:t>单一投资周期运作期间内理财产品将每日暂估超额业绩报酬，仅用于理财产品会计核算，并将扣除“暂估超额业绩报酬”后的理财产品份额净值按照说明书约定向投资者进行披露。理财产品实际的超额业绩报酬以投资周期终止日或产品到期日计提核算的数值为准。计算累计年化收益率和业绩比较基准时，1年按365日计算。</w:t>
      </w:r>
    </w:p>
    <w:p>
      <w:pPr>
        <w:numPr>
          <w:ilvl w:val="0"/>
          <w:numId w:val="2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产品运作和清算中产生的交易手续费、注册登记费、账户服务费、审计费、及其他应由本产品承担的费用，按照实际发生时从产品中列支。</w:t>
      </w:r>
    </w:p>
    <w:p>
      <w:pPr>
        <w:ind w:firstLine="480" w:firstLineChars="200"/>
        <w:rPr>
          <w:rFonts w:hint="eastAsia" w:ascii="楷体" w:hAnsi="楷体" w:eastAsia="楷体"/>
          <w:sz w:val="24"/>
          <w:szCs w:val="24"/>
        </w:rPr>
      </w:pPr>
      <w:r>
        <w:rPr>
          <w:rFonts w:hint="eastAsia" w:ascii="楷体" w:hAnsi="楷体" w:eastAsia="楷体"/>
          <w:sz w:val="24"/>
          <w:szCs w:val="24"/>
        </w:rPr>
        <w:t>产品管理人有权根据市场情况等调整上述各项费用费率和超额业绩报酬收取方式及比例，并至少于调整日之前2个工作日进行公告。</w:t>
      </w:r>
      <w:r>
        <w:rPr>
          <w:rFonts w:hint="eastAsia" w:ascii="楷体" w:hAnsi="楷体" w:eastAsia="楷体"/>
          <w:sz w:val="24"/>
          <w:szCs w:val="24"/>
          <w:lang w:eastAsia="zh-CN"/>
        </w:rPr>
        <w:t>产品管理人将通过短信及苏银理财有限责任公司官方网站（www.suyinwealth.com）、销售机构电子渠道和营业网点等方式进行信息披露</w:t>
      </w:r>
      <w:r>
        <w:rPr>
          <w:rFonts w:hint="eastAsia" w:ascii="楷体" w:hAnsi="楷体" w:eastAsia="楷体"/>
          <w:sz w:val="24"/>
          <w:szCs w:val="24"/>
        </w:rPr>
        <w:t>。如投资者不接受的，可在公告约定的期限内赎回本产品，此种情况下产品管理人将可能开放特殊赎回期间，具体以届时产品管理人公告为准；如投资者未赎回本产品，则视为本理财产品投资者对相关调整无异议且同意在调整后继续持有本理财产品。本产品不收取认购费用、申购费用、赎回费用。</w:t>
      </w:r>
    </w:p>
    <w:p>
      <w:pPr>
        <w:numPr>
          <w:ilvl w:val="0"/>
          <w:numId w:val="3"/>
        </w:numPr>
        <w:tabs>
          <w:tab w:val="left" w:pos="1428"/>
        </w:tabs>
        <w:ind w:firstLine="562" w:firstLineChars="200"/>
        <w:outlineLvl w:val="0"/>
        <w:rPr>
          <w:rFonts w:ascii="楷体" w:hAnsi="楷体" w:eastAsia="楷体"/>
          <w:b/>
          <w:sz w:val="28"/>
          <w:szCs w:val="28"/>
        </w:rPr>
      </w:pPr>
      <w:r>
        <w:rPr>
          <w:rFonts w:hint="eastAsia" w:ascii="楷体" w:hAnsi="楷体" w:eastAsia="楷体"/>
          <w:b/>
          <w:sz w:val="28"/>
          <w:szCs w:val="28"/>
        </w:rPr>
        <w:t>税收规定</w:t>
      </w:r>
    </w:p>
    <w:p>
      <w:pPr>
        <w:ind w:firstLine="480" w:firstLineChars="200"/>
        <w:rPr>
          <w:rFonts w:ascii="楷体" w:hAnsi="楷体" w:eastAsia="楷体"/>
          <w:sz w:val="24"/>
          <w:szCs w:val="24"/>
        </w:rPr>
      </w:pPr>
      <w:r>
        <w:rPr>
          <w:rFonts w:hint="eastAsia" w:ascii="楷体" w:hAnsi="楷体" w:eastAsia="楷体"/>
          <w:sz w:val="24"/>
          <w:szCs w:val="24"/>
        </w:rPr>
        <w:t>根据中国增值税等税收相关法律法规、税收政策等要求，本理财产品运营过程中发生的增值税应税行为，以理财产品管理人为纳税人。签约各方同意本理财产品在运营过程应缴纳的增值税及附加税费（包括但不限于城市维护建设税、教育费附加及地方教育附加等）由管理人从理财产品财产中支付，应缴纳增值税的原因包括但不限于投资者从理财产品中获取的收益被政府机关认定为应缴纳部分、投资者转让未到期理财产品等，并由管理人根据中国税务机关要求，履行相关纳税申报义务，由此可能会使理财产品净值或实际收益降低，请投资者知悉。</w:t>
      </w:r>
      <w:r>
        <w:rPr>
          <w:rFonts w:hint="eastAsia" w:ascii="楷体" w:hAnsi="楷体" w:eastAsia="楷体"/>
          <w:b/>
          <w:sz w:val="24"/>
          <w:szCs w:val="24"/>
          <w:u w:val="single"/>
        </w:rPr>
        <w:t>投资者从理财产品取得的收益应缴纳的税款，由投资者自行申报及缴纳。</w:t>
      </w:r>
    </w:p>
    <w:p>
      <w:pPr>
        <w:numPr>
          <w:ilvl w:val="0"/>
          <w:numId w:val="3"/>
        </w:numPr>
        <w:tabs>
          <w:tab w:val="left" w:pos="1414"/>
        </w:tabs>
        <w:ind w:firstLine="562" w:firstLineChars="200"/>
        <w:outlineLvl w:val="0"/>
        <w:rPr>
          <w:rFonts w:ascii="楷体" w:hAnsi="楷体" w:eastAsia="楷体"/>
          <w:b/>
          <w:sz w:val="28"/>
          <w:szCs w:val="28"/>
        </w:rPr>
      </w:pPr>
      <w:r>
        <w:rPr>
          <w:rFonts w:hint="eastAsia" w:ascii="楷体" w:hAnsi="楷体" w:eastAsia="楷体"/>
          <w:b/>
          <w:sz w:val="28"/>
          <w:szCs w:val="28"/>
        </w:rPr>
        <w:t>产品托管人</w:t>
      </w:r>
    </w:p>
    <w:p>
      <w:pPr>
        <w:numPr>
          <w:ilvl w:val="0"/>
          <w:numId w:val="29"/>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托管人</w:t>
      </w:r>
    </w:p>
    <w:p>
      <w:pPr>
        <w:ind w:firstLine="480" w:firstLineChars="200"/>
        <w:rPr>
          <w:rFonts w:ascii="楷体" w:hAnsi="楷体" w:eastAsia="楷体"/>
          <w:sz w:val="24"/>
          <w:szCs w:val="24"/>
        </w:rPr>
      </w:pPr>
      <w:r>
        <w:rPr>
          <w:rFonts w:hint="eastAsia" w:ascii="楷体" w:hAnsi="楷体" w:eastAsia="楷体"/>
          <w:sz w:val="24"/>
          <w:szCs w:val="24"/>
        </w:rPr>
        <w:t>本产品托管人为江苏银行股份有限公司。产品管理人在此特别披露</w:t>
      </w:r>
      <w:r>
        <w:rPr>
          <w:rFonts w:ascii="楷体" w:hAnsi="楷体" w:eastAsia="楷体"/>
          <w:sz w:val="24"/>
          <w:szCs w:val="24"/>
        </w:rPr>
        <w:t>：</w:t>
      </w:r>
      <w:r>
        <w:rPr>
          <w:rFonts w:hint="eastAsia" w:ascii="楷体" w:hAnsi="楷体" w:eastAsia="楷体"/>
          <w:sz w:val="24"/>
          <w:szCs w:val="24"/>
        </w:rPr>
        <w:t>托管人为产品管理人的关联方</w:t>
      </w:r>
      <w:r>
        <w:rPr>
          <w:rFonts w:ascii="楷体" w:hAnsi="楷体" w:eastAsia="楷体"/>
          <w:sz w:val="24"/>
          <w:szCs w:val="24"/>
        </w:rPr>
        <w:t>，</w:t>
      </w:r>
      <w:r>
        <w:rPr>
          <w:rFonts w:hint="eastAsia" w:ascii="楷体" w:hAnsi="楷体" w:eastAsia="楷体"/>
          <w:sz w:val="24"/>
          <w:szCs w:val="24"/>
        </w:rPr>
        <w:t>产品管理人聘请其担任托管人已履行现行法律法规和监管规定所规定必须履行的程序</w:t>
      </w:r>
      <w:r>
        <w:rPr>
          <w:rFonts w:ascii="楷体" w:hAnsi="楷体" w:eastAsia="楷体"/>
          <w:sz w:val="24"/>
          <w:szCs w:val="24"/>
        </w:rPr>
        <w:t>，</w:t>
      </w:r>
      <w:r>
        <w:rPr>
          <w:rFonts w:hint="eastAsia" w:ascii="楷体" w:hAnsi="楷体" w:eastAsia="楷体"/>
          <w:sz w:val="24"/>
          <w:szCs w:val="24"/>
        </w:rPr>
        <w:t>产品管理人、投资者同意并接受理财产品由托管人托管。</w:t>
      </w:r>
    </w:p>
    <w:p>
      <w:pPr>
        <w:numPr>
          <w:ilvl w:val="0"/>
          <w:numId w:val="29"/>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托管人职责</w:t>
      </w:r>
    </w:p>
    <w:p>
      <w:pPr>
        <w:numPr>
          <w:ilvl w:val="0"/>
          <w:numId w:val="30"/>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安全保管理财产品财产；</w:t>
      </w:r>
    </w:p>
    <w:p>
      <w:pPr>
        <w:numPr>
          <w:ilvl w:val="0"/>
          <w:numId w:val="30"/>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为理财产品开立银行托管账户、证券账户等；</w:t>
      </w:r>
    </w:p>
    <w:p>
      <w:pPr>
        <w:numPr>
          <w:ilvl w:val="0"/>
          <w:numId w:val="30"/>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确认与执行理财产品资金划拨指令，办理理财产品资金的收付，核对理财产品资金划拨记录；</w:t>
      </w:r>
    </w:p>
    <w:p>
      <w:pPr>
        <w:numPr>
          <w:ilvl w:val="0"/>
          <w:numId w:val="30"/>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建立与理财产品管理人的对账机制，复核理财产品资产净值、理财产品份额申购、赎回价格，及时核查投资资金的支付和到账情况；</w:t>
      </w:r>
    </w:p>
    <w:p>
      <w:pPr>
        <w:numPr>
          <w:ilvl w:val="0"/>
          <w:numId w:val="30"/>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监督理财产品投资运作；</w:t>
      </w:r>
    </w:p>
    <w:p>
      <w:pPr>
        <w:numPr>
          <w:ilvl w:val="0"/>
          <w:numId w:val="30"/>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办理与理财产品托管业务活动相关的信息披露事项；</w:t>
      </w:r>
    </w:p>
    <w:p>
      <w:pPr>
        <w:numPr>
          <w:ilvl w:val="0"/>
          <w:numId w:val="30"/>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保存理财产品托管业务活动的记录、账册、报表和其他相关材料；</w:t>
      </w:r>
    </w:p>
    <w:p>
      <w:pPr>
        <w:numPr>
          <w:ilvl w:val="0"/>
          <w:numId w:val="30"/>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对理财产品投资信息和相关资料承担保密责任；</w:t>
      </w:r>
    </w:p>
    <w:p>
      <w:pPr>
        <w:numPr>
          <w:ilvl w:val="0"/>
          <w:numId w:val="30"/>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国务院银行业监督管理机构规定的其他职责。</w:t>
      </w:r>
    </w:p>
    <w:p>
      <w:pPr>
        <w:numPr>
          <w:ilvl w:val="0"/>
          <w:numId w:val="3"/>
        </w:numPr>
        <w:tabs>
          <w:tab w:val="left" w:pos="1428"/>
        </w:tabs>
        <w:ind w:firstLine="562" w:firstLineChars="200"/>
        <w:outlineLvl w:val="0"/>
        <w:rPr>
          <w:rFonts w:ascii="楷体" w:hAnsi="楷体" w:eastAsia="楷体"/>
          <w:b/>
          <w:sz w:val="28"/>
          <w:szCs w:val="28"/>
        </w:rPr>
      </w:pPr>
      <w:r>
        <w:rPr>
          <w:rFonts w:hint="eastAsia" w:ascii="楷体" w:hAnsi="楷体" w:eastAsia="楷体"/>
          <w:b/>
          <w:sz w:val="28"/>
          <w:szCs w:val="28"/>
        </w:rPr>
        <w:t>信息披露</w:t>
      </w:r>
    </w:p>
    <w:p>
      <w:pPr>
        <w:numPr>
          <w:ilvl w:val="0"/>
          <w:numId w:val="31"/>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信息披露内容</w:t>
      </w:r>
    </w:p>
    <w:p>
      <w:pPr>
        <w:numPr>
          <w:ilvl w:val="0"/>
          <w:numId w:val="32"/>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产品类型、募集信息、产品净值、产品规模、托管安排、投资账户信息；</w:t>
      </w:r>
    </w:p>
    <w:p>
      <w:pPr>
        <w:numPr>
          <w:ilvl w:val="0"/>
          <w:numId w:val="32"/>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产品投向、投资比例、持仓情况、杠杆水平以及主要投资风险；</w:t>
      </w:r>
    </w:p>
    <w:p>
      <w:pPr>
        <w:numPr>
          <w:ilvl w:val="0"/>
          <w:numId w:val="32"/>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产品收益分配、各项费用情况；</w:t>
      </w:r>
    </w:p>
    <w:p>
      <w:pPr>
        <w:numPr>
          <w:ilvl w:val="0"/>
          <w:numId w:val="32"/>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产品涉及关联交易；</w:t>
      </w:r>
    </w:p>
    <w:p>
      <w:pPr>
        <w:numPr>
          <w:ilvl w:val="0"/>
          <w:numId w:val="32"/>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其他影响本产品投资运作的重大事项、临时性信息披露等。</w:t>
      </w:r>
    </w:p>
    <w:p>
      <w:pPr>
        <w:numPr>
          <w:ilvl w:val="0"/>
          <w:numId w:val="31"/>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信息披露频率</w:t>
      </w:r>
    </w:p>
    <w:p>
      <w:pPr>
        <w:numPr>
          <w:ilvl w:val="0"/>
          <w:numId w:val="33"/>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发行公告：管理人在产品成立后5个工作日内，披露产品成立公告，内容包括理财产品成立日期和募集规模等信息。</w:t>
      </w:r>
    </w:p>
    <w:p>
      <w:pPr>
        <w:numPr>
          <w:ilvl w:val="0"/>
          <w:numId w:val="33"/>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33"/>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到期公告：管理人在产品终止后5个工作日内，披露产品到期公告，内容包括理财产品的存续期限、终止日期、收费情况和收益分配情况等信息。</w:t>
      </w:r>
    </w:p>
    <w:p>
      <w:pPr>
        <w:numPr>
          <w:ilvl w:val="0"/>
          <w:numId w:val="33"/>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重大事项公告：管理人在发生可能对理财产品投资者或者理财产品收益产生重大事项的事件后2个工作日内发布重大事项公告。</w:t>
      </w:r>
    </w:p>
    <w:p>
      <w:pPr>
        <w:numPr>
          <w:ilvl w:val="0"/>
          <w:numId w:val="33"/>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产品净值披露：本产品存续期内每周按说明书约定方式披露单位净值，每个开放日结束后2个工作日内通过本理财产品说明书约定方式披露上一投资周期终止日的单位净值、份额累计净值、认</w:t>
      </w:r>
      <w:r>
        <w:rPr>
          <w:rFonts w:hint="eastAsia" w:ascii="楷体" w:hAnsi="楷体" w:eastAsia="楷体" w:cs="Calibri"/>
          <w:sz w:val="24"/>
          <w:szCs w:val="24"/>
          <w:lang w:val="en-US" w:eastAsia="zh-CN"/>
        </w:rPr>
        <w:t>/申</w:t>
      </w:r>
      <w:r>
        <w:rPr>
          <w:rFonts w:hint="eastAsia" w:ascii="楷体" w:hAnsi="楷体" w:eastAsia="楷体" w:cs="Calibri"/>
          <w:sz w:val="24"/>
          <w:szCs w:val="24"/>
        </w:rPr>
        <w:t>购价格和赎回价格。</w:t>
      </w:r>
    </w:p>
    <w:p>
      <w:pPr>
        <w:numPr>
          <w:ilvl w:val="0"/>
          <w:numId w:val="33"/>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临时性信息披露：管理人将及时披露国务院银行业监督管理机构规定的其他信息或除重大事项事件以外的其他信息。</w:t>
      </w:r>
    </w:p>
    <w:p>
      <w:pPr>
        <w:numPr>
          <w:ilvl w:val="0"/>
          <w:numId w:val="33"/>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半年度整体报告：每半年披露从事理财业务活动的有关信息。</w:t>
      </w:r>
    </w:p>
    <w:p>
      <w:pPr>
        <w:numPr>
          <w:ilvl w:val="0"/>
          <w:numId w:val="33"/>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理财账单：管理人每月向投资者提供其所持有的理财产品账单，账单内容包括但不限于投资者持有的理财产品份额、认购金额、</w:t>
      </w:r>
      <w:r>
        <w:rPr>
          <w:rFonts w:hint="eastAsia" w:ascii="楷体" w:hAnsi="楷体" w:eastAsia="楷体" w:cs="Calibri"/>
          <w:sz w:val="24"/>
          <w:szCs w:val="24"/>
          <w:lang w:val="en-US" w:eastAsia="zh-CN"/>
        </w:rPr>
        <w:t>份额单位</w:t>
      </w:r>
      <w:r>
        <w:rPr>
          <w:rFonts w:hint="eastAsia" w:ascii="楷体" w:hAnsi="楷体" w:eastAsia="楷体" w:cs="Calibri"/>
          <w:sz w:val="24"/>
          <w:szCs w:val="24"/>
        </w:rPr>
        <w:t>净值、份额累计净值、资产净值、收益情况、投资者理财交易账户发生的交易明细记录等信息。</w:t>
      </w:r>
    </w:p>
    <w:p>
      <w:pPr>
        <w:numPr>
          <w:ilvl w:val="0"/>
          <w:numId w:val="31"/>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信息披露方式</w:t>
      </w:r>
    </w:p>
    <w:p>
      <w:pPr>
        <w:ind w:firstLine="480" w:firstLineChars="200"/>
        <w:rPr>
          <w:rFonts w:hint="eastAsia" w:ascii="楷体" w:hAnsi="楷体" w:eastAsia="楷体"/>
          <w:sz w:val="24"/>
          <w:szCs w:val="24"/>
        </w:rPr>
      </w:pPr>
      <w:r>
        <w:rPr>
          <w:rFonts w:hint="eastAsia" w:ascii="楷体" w:hAnsi="楷体" w:eastAsia="楷体"/>
          <w:sz w:val="24"/>
          <w:szCs w:val="24"/>
        </w:rPr>
        <w:t>由苏银理财按监管要求和说明书的约定，同时通过以下方式向投资者进行信息披露，披露方式包括：</w:t>
      </w:r>
    </w:p>
    <w:p>
      <w:pPr>
        <w:numPr>
          <w:ilvl w:val="0"/>
          <w:numId w:val="34"/>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苏银理财通过苏银理财有限责任公司官方网站（</w:t>
      </w:r>
      <w:r>
        <w:rPr>
          <w:rFonts w:ascii="楷体" w:hAnsi="楷体" w:eastAsia="楷体" w:cs="Calibri"/>
          <w:sz w:val="24"/>
          <w:szCs w:val="24"/>
        </w:rPr>
        <w:t>www.suyinwealth.com</w:t>
      </w:r>
      <w:r>
        <w:rPr>
          <w:rFonts w:hint="eastAsia" w:ascii="楷体" w:hAnsi="楷体" w:eastAsia="楷体" w:cs="Calibri"/>
          <w:sz w:val="24"/>
          <w:szCs w:val="24"/>
        </w:rPr>
        <w:t>）进行信息披露。</w:t>
      </w:r>
    </w:p>
    <w:p>
      <w:pPr>
        <w:ind w:firstLine="480" w:firstLineChars="200"/>
        <w:rPr>
          <w:rFonts w:hint="eastAsia" w:ascii="楷体" w:hAnsi="楷体" w:eastAsia="楷体" w:cs="Calibri"/>
          <w:sz w:val="24"/>
          <w:szCs w:val="24"/>
        </w:rPr>
      </w:pPr>
      <w:r>
        <w:rPr>
          <w:rFonts w:hint="eastAsia" w:ascii="楷体" w:hAnsi="楷体" w:eastAsia="楷体" w:cs="Calibri"/>
          <w:sz w:val="24"/>
          <w:szCs w:val="24"/>
          <w:lang w:val="en-US" w:eastAsia="zh-CN"/>
        </w:rPr>
        <w:t>2.</w:t>
      </w:r>
      <w:r>
        <w:rPr>
          <w:rFonts w:hint="eastAsia" w:ascii="楷体" w:hAnsi="楷体" w:eastAsia="楷体" w:cs="Calibri"/>
          <w:sz w:val="24"/>
          <w:szCs w:val="24"/>
        </w:rPr>
        <w:t>苏银理财将信息披露内容发送销售机构，由销售机构通过</w:t>
      </w:r>
      <w:r>
        <w:rPr>
          <w:rFonts w:hint="eastAsia" w:ascii="楷体" w:hAnsi="楷体" w:eastAsia="楷体" w:cs="Calibri"/>
          <w:sz w:val="24"/>
          <w:szCs w:val="24"/>
          <w:lang w:val="en-US" w:eastAsia="zh-CN"/>
        </w:rPr>
        <w:t>短信及</w:t>
      </w:r>
      <w:r>
        <w:rPr>
          <w:rFonts w:hint="eastAsia" w:ascii="楷体" w:hAnsi="楷体" w:eastAsia="楷体" w:cs="Calibri"/>
          <w:sz w:val="24"/>
          <w:szCs w:val="24"/>
        </w:rPr>
        <w:t>销售机构电子渠道和营业网点</w:t>
      </w:r>
      <w:r>
        <w:rPr>
          <w:rFonts w:hint="eastAsia" w:ascii="楷体" w:hAnsi="楷体" w:eastAsia="楷体" w:cs="Calibri"/>
          <w:sz w:val="24"/>
          <w:szCs w:val="24"/>
          <w:lang w:val="en-US" w:eastAsia="zh-CN"/>
        </w:rPr>
        <w:t>等方式</w:t>
      </w:r>
      <w:r>
        <w:rPr>
          <w:rFonts w:hint="eastAsia" w:ascii="楷体" w:hAnsi="楷体" w:eastAsia="楷体" w:cs="Calibri"/>
          <w:sz w:val="24"/>
          <w:szCs w:val="24"/>
        </w:rPr>
        <w:t>进行信息披露。</w:t>
      </w:r>
    </w:p>
    <w:p>
      <w:pPr>
        <w:ind w:firstLine="480" w:firstLineChars="200"/>
        <w:rPr>
          <w:rFonts w:hint="eastAsia" w:ascii="楷体" w:hAnsi="楷体" w:eastAsia="楷体"/>
          <w:sz w:val="24"/>
          <w:szCs w:val="24"/>
        </w:rPr>
      </w:pPr>
      <w:r>
        <w:rPr>
          <w:rFonts w:hint="eastAsia" w:ascii="楷体" w:hAnsi="楷体" w:eastAsia="楷体"/>
          <w:sz w:val="24"/>
          <w:szCs w:val="24"/>
        </w:rPr>
        <w:t>相关信息在发布或发出之日视为通知已送达投资者并生效，</w:t>
      </w:r>
      <w:r>
        <w:rPr>
          <w:rFonts w:hint="eastAsia" w:ascii="楷体" w:hAnsi="楷体" w:eastAsia="楷体"/>
          <w:sz w:val="24"/>
          <w:szCs w:val="24"/>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4"/>
          <w:szCs w:val="24"/>
        </w:rPr>
        <w:t>请</w:t>
      </w:r>
      <w:r>
        <w:rPr>
          <w:rFonts w:hint="eastAsia" w:ascii="楷体" w:hAnsi="楷体" w:eastAsia="楷体"/>
          <w:sz w:val="24"/>
          <w:szCs w:val="24"/>
          <w:lang w:val="en-US" w:eastAsia="zh-CN"/>
        </w:rPr>
        <w:t>投资者</w:t>
      </w:r>
      <w:r>
        <w:rPr>
          <w:rFonts w:hint="eastAsia" w:ascii="楷体" w:hAnsi="楷体" w:eastAsia="楷体"/>
          <w:sz w:val="24"/>
          <w:szCs w:val="24"/>
        </w:rPr>
        <w:t>及时登陆苏银理财有限责任</w:t>
      </w:r>
      <w:r>
        <w:rPr>
          <w:rFonts w:hint="eastAsia" w:ascii="楷体" w:hAnsi="楷体" w:eastAsia="楷体"/>
          <w:sz w:val="24"/>
          <w:szCs w:val="24"/>
          <w:lang w:val="en-US" w:eastAsia="zh-CN"/>
        </w:rPr>
        <w:t>公司</w:t>
      </w:r>
      <w:r>
        <w:rPr>
          <w:rFonts w:hint="eastAsia" w:ascii="楷体" w:hAnsi="楷体" w:eastAsia="楷体"/>
          <w:sz w:val="24"/>
          <w:szCs w:val="24"/>
        </w:rPr>
        <w:t>官方网站或者向销售机构查询获取披露信息。</w:t>
      </w:r>
    </w:p>
    <w:p>
      <w:pPr>
        <w:numPr>
          <w:ilvl w:val="0"/>
          <w:numId w:val="3"/>
        </w:numPr>
        <w:tabs>
          <w:tab w:val="left" w:pos="1428"/>
        </w:tabs>
        <w:ind w:firstLine="562" w:firstLineChars="200"/>
        <w:outlineLvl w:val="0"/>
        <w:rPr>
          <w:rFonts w:ascii="楷体" w:hAnsi="楷体" w:eastAsia="楷体"/>
          <w:b/>
          <w:sz w:val="28"/>
          <w:szCs w:val="28"/>
        </w:rPr>
      </w:pPr>
      <w:r>
        <w:rPr>
          <w:rFonts w:hint="eastAsia" w:ascii="楷体" w:hAnsi="楷体" w:eastAsia="楷体"/>
          <w:b/>
          <w:sz w:val="28"/>
          <w:szCs w:val="28"/>
        </w:rPr>
        <w:t>其他</w:t>
      </w:r>
    </w:p>
    <w:p>
      <w:pPr>
        <w:numPr>
          <w:ilvl w:val="0"/>
          <w:numId w:val="35"/>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追索条款</w:t>
      </w:r>
    </w:p>
    <w:p>
      <w:pPr>
        <w:ind w:firstLine="480" w:firstLineChars="200"/>
        <w:rPr>
          <w:rFonts w:ascii="楷体" w:hAnsi="楷体" w:eastAsia="楷体"/>
          <w:sz w:val="24"/>
          <w:szCs w:val="24"/>
        </w:rPr>
      </w:pPr>
      <w:r>
        <w:rPr>
          <w:rFonts w:hint="eastAsia" w:ascii="楷体" w:hAnsi="楷体" w:eastAsia="楷体"/>
          <w:sz w:val="24"/>
          <w:szCs w:val="24"/>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35"/>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信息安全</w:t>
      </w:r>
    </w:p>
    <w:p>
      <w:pPr>
        <w:ind w:firstLine="480" w:firstLineChars="200"/>
        <w:rPr>
          <w:rFonts w:hint="eastAsia" w:ascii="楷体" w:hAnsi="楷体" w:eastAsia="楷体"/>
          <w:sz w:val="24"/>
          <w:szCs w:val="24"/>
        </w:rPr>
      </w:pPr>
      <w:r>
        <w:rPr>
          <w:rFonts w:hint="eastAsia" w:ascii="楷体" w:hAnsi="楷体" w:eastAsia="楷体"/>
          <w:sz w:val="24"/>
          <w:szCs w:val="24"/>
        </w:rPr>
        <w:t>苏银理财及</w:t>
      </w:r>
      <w:r>
        <w:rPr>
          <w:rFonts w:hint="eastAsia" w:ascii="楷体" w:hAnsi="楷体" w:eastAsia="楷体"/>
          <w:sz w:val="24"/>
          <w:szCs w:val="24"/>
          <w:lang w:val="en-US" w:eastAsia="zh-CN"/>
        </w:rPr>
        <w:t>销售</w:t>
      </w:r>
      <w:r>
        <w:rPr>
          <w:rFonts w:hint="eastAsia" w:ascii="楷体" w:hAnsi="楷体" w:eastAsia="楷体"/>
          <w:sz w:val="24"/>
          <w:szCs w:val="24"/>
        </w:rPr>
        <w:t>机构将据相关法律、法规严格履行投资者信息保密责任，除监管机构或司法机关等有权机构外，不得对其他第三方提供任何投资者信息。投资者在此同意并授权，苏银理财可根据监管要求，为理财产品登记等需要，向登记部门或监管机构提供投资者相关信息。</w:t>
      </w:r>
    </w:p>
    <w:p>
      <w:pPr>
        <w:ind w:firstLine="480" w:firstLineChars="200"/>
        <w:rPr>
          <w:rFonts w:hint="eastAsia" w:ascii="楷体" w:hAnsi="楷体" w:eastAsia="楷体"/>
          <w:sz w:val="24"/>
          <w:szCs w:val="24"/>
        </w:rPr>
      </w:pPr>
      <w:r>
        <w:rPr>
          <w:rFonts w:hint="eastAsia" w:ascii="楷体" w:hAnsi="楷体" w:eastAsia="楷体"/>
          <w:sz w:val="24"/>
          <w:szCs w:val="24"/>
        </w:rPr>
        <w:t>投资者在此同意并授权苏银理财可根据业务需要向苏银理财集团成员、服务机构及其他苏银理财认为必要的业务合作机构提供苏银理财获取的投资者个人信息，范围包括但不限于投资人的身份信息、账户信息等。上述第三方将为处理本协议项下事务之目的</w:t>
      </w:r>
      <w:r>
        <w:rPr>
          <w:rFonts w:hint="eastAsia" w:ascii="楷体" w:hAnsi="楷体" w:eastAsia="楷体"/>
          <w:sz w:val="24"/>
          <w:szCs w:val="24"/>
          <w:lang w:val="en-US" w:eastAsia="zh-CN"/>
        </w:rPr>
        <w:t>接触</w:t>
      </w:r>
      <w:r>
        <w:rPr>
          <w:rFonts w:hint="eastAsia" w:ascii="楷体" w:hAnsi="楷体" w:eastAsia="楷体"/>
          <w:sz w:val="24"/>
          <w:szCs w:val="24"/>
        </w:rPr>
        <w:t>并按照苏银理财的业务要求以及“最少必须”原则使用投资人个人信息。苏银理财承诺将向有关第三方明确其保护投资人信息的职责并要求第三方承担相应的保密义务。</w:t>
      </w:r>
    </w:p>
    <w:p>
      <w:pPr>
        <w:numPr>
          <w:ilvl w:val="0"/>
          <w:numId w:val="35"/>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争议解决</w:t>
      </w:r>
    </w:p>
    <w:p>
      <w:pPr>
        <w:ind w:firstLine="480" w:firstLineChars="200"/>
        <w:rPr>
          <w:rFonts w:ascii="楷体" w:hAnsi="楷体" w:eastAsia="楷体"/>
          <w:sz w:val="24"/>
          <w:szCs w:val="24"/>
        </w:rPr>
      </w:pPr>
      <w:r>
        <w:rPr>
          <w:rFonts w:hint="eastAsia" w:ascii="楷体" w:hAnsi="楷体" w:eastAsia="楷体"/>
          <w:sz w:val="24"/>
          <w:szCs w:val="24"/>
        </w:rPr>
        <w:t>本合同的订立、生效、履行、解释、修改和终止等事项均适用中华人民共和国（不包括香港特别行政区、澳门特别行政区和台湾地区）法律。因本合同引起的或与本合同有关的任何争议，应当首先通过双方之间的友好协商解决；协商不成的，双方均有权提交产品管理人所在地有管辖权的人民法院诉讼解决。</w:t>
      </w:r>
    </w:p>
    <w:p>
      <w:pPr>
        <w:ind w:firstLine="480" w:firstLineChars="200"/>
        <w:rPr>
          <w:rFonts w:hint="eastAsia" w:ascii="楷体" w:hAnsi="楷体" w:eastAsia="楷体"/>
          <w:sz w:val="24"/>
          <w:szCs w:val="24"/>
        </w:rPr>
      </w:pPr>
      <w:r>
        <w:rPr>
          <w:rFonts w:hint="eastAsia" w:ascii="楷体" w:hAnsi="楷体" w:eastAsia="楷体"/>
          <w:sz w:val="24"/>
          <w:szCs w:val="24"/>
        </w:rPr>
        <w:t>苏银理财有限责任公司将恪守勤勉尽责的原则，合理配置资产组合，为投资者提供专业化的理财服务。投资者应密切关注苏银理财有限责任公司与本产品有关的信息公告，以免造成不必要的损失。</w:t>
      </w:r>
    </w:p>
    <w:sectPr>
      <w:headerReference r:id="rId6" w:type="first"/>
      <w:headerReference r:id="rId4" w:type="default"/>
      <w:footerReference r:id="rId7" w:type="default"/>
      <w:head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23</w:t>
    </w:r>
    <w:r>
      <w:rPr>
        <w:b/>
        <w:bCs/>
        <w:sz w:val="24"/>
        <w:szCs w:val="24"/>
      </w:rPr>
      <w:fldChar w:fldCharType="end"/>
    </w:r>
  </w:p>
  <w:p>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pPr>
        <w:pStyle w:val="11"/>
        <w:snapToGrid w:val="0"/>
      </w:pPr>
      <w:r>
        <w:rPr>
          <w:rStyle w:val="20"/>
        </w:rPr>
        <w:footnoteRef/>
      </w:r>
      <w:r>
        <w:rPr>
          <w:rFonts w:hint="eastAsia" w:ascii="楷体" w:hAnsi="楷体" w:eastAsia="楷体"/>
        </w:rPr>
        <w:t>注：</w:t>
      </w:r>
      <w:r>
        <w:rPr>
          <w:rFonts w:hint="eastAsia" w:ascii="楷体" w:hAnsi="楷体" w:eastAsia="楷体"/>
          <w:sz w:val="18"/>
          <w:szCs w:val="18"/>
          <w:lang w:eastAsia="zh-CN"/>
        </w:rPr>
        <w:t>投资者权益须知</w:t>
      </w:r>
      <w:r>
        <w:rPr>
          <w:rFonts w:hint="eastAsia" w:ascii="楷体" w:hAnsi="楷体" w:eastAsia="楷体"/>
        </w:rPr>
        <w:t>的名称和内容以销售机构实际使用为准。</w:t>
      </w:r>
    </w:p>
  </w:footnote>
  <w:footnote w:id="1">
    <w:p>
      <w:pPr>
        <w:pStyle w:val="11"/>
        <w:rPr>
          <w:rFonts w:hint="eastAsia" w:ascii="楷体" w:hAnsi="楷体" w:eastAsia="楷体"/>
        </w:rPr>
      </w:pPr>
      <w:r>
        <w:rPr>
          <w:rStyle w:val="20"/>
          <w:rFonts w:ascii="楷体" w:hAnsi="楷体" w:eastAsia="楷体"/>
        </w:rPr>
        <w:footnoteRef/>
      </w:r>
      <w:r>
        <w:rPr>
          <w:rFonts w:hint="eastAsia" w:ascii="楷体" w:hAnsi="楷体" w:eastAsia="楷体"/>
        </w:rPr>
        <w:t>注：</w:t>
      </w:r>
      <w:r>
        <w:rPr>
          <w:rFonts w:hint="eastAsia" w:ascii="楷体" w:hAnsi="楷体" w:eastAsia="楷体"/>
          <w:lang w:eastAsia="zh-CN"/>
        </w:rPr>
        <w:t>理财产品（代理）销售协议书</w:t>
      </w:r>
      <w:r>
        <w:rPr>
          <w:rFonts w:hint="eastAsia" w:ascii="楷体" w:hAnsi="楷体" w:eastAsia="楷体"/>
        </w:rPr>
        <w:t>的名称和内容以销售机构实际使用为准。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1312"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5"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75D0C4"/>
    <w:multiLevelType w:val="singleLevel"/>
    <w:tmpl w:val="EE75D0C4"/>
    <w:lvl w:ilvl="0" w:tentative="0">
      <w:start w:val="1"/>
      <w:numFmt w:val="decimal"/>
      <w:suff w:val="nothing"/>
      <w:lvlText w:val="（%1）"/>
      <w:lvlJc w:val="left"/>
    </w:lvl>
  </w:abstractNum>
  <w:abstractNum w:abstractNumId="1">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AA62A71"/>
    <w:multiLevelType w:val="multilevel"/>
    <w:tmpl w:val="0AA62A71"/>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C3743EB"/>
    <w:multiLevelType w:val="multilevel"/>
    <w:tmpl w:val="0C3743E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CA52050"/>
    <w:multiLevelType w:val="multilevel"/>
    <w:tmpl w:val="1CA52050"/>
    <w:lvl w:ilvl="0" w:tentative="0">
      <w:start w:val="1"/>
      <w:numFmt w:val="chineseCountingThousand"/>
      <w:lvlText w:val="%1、"/>
      <w:lvlJc w:val="left"/>
      <w:pPr>
        <w:ind w:left="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296D7B4C"/>
    <w:multiLevelType w:val="multilevel"/>
    <w:tmpl w:val="296D7B4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CB30410"/>
    <w:multiLevelType w:val="multilevel"/>
    <w:tmpl w:val="2CB3041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3266630"/>
    <w:multiLevelType w:val="multilevel"/>
    <w:tmpl w:val="33266630"/>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3DE002A"/>
    <w:multiLevelType w:val="multilevel"/>
    <w:tmpl w:val="33DE002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4304046"/>
    <w:multiLevelType w:val="multilevel"/>
    <w:tmpl w:val="3430404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FC765AA"/>
    <w:multiLevelType w:val="multilevel"/>
    <w:tmpl w:val="3FC765A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41C02CA7"/>
    <w:multiLevelType w:val="multilevel"/>
    <w:tmpl w:val="41C02CA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45714B71"/>
    <w:multiLevelType w:val="multilevel"/>
    <w:tmpl w:val="45714B7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49655AE0"/>
    <w:multiLevelType w:val="multilevel"/>
    <w:tmpl w:val="49655AE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51F440F1"/>
    <w:multiLevelType w:val="multilevel"/>
    <w:tmpl w:val="51F440F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52915C06"/>
    <w:multiLevelType w:val="multilevel"/>
    <w:tmpl w:val="52915C0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55CB1E63"/>
    <w:multiLevelType w:val="multilevel"/>
    <w:tmpl w:val="55CB1E6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58D10B54"/>
    <w:multiLevelType w:val="multilevel"/>
    <w:tmpl w:val="58D10B5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5A1C30FB"/>
    <w:multiLevelType w:val="multilevel"/>
    <w:tmpl w:val="5A1C30F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5B1D2B3D"/>
    <w:multiLevelType w:val="multilevel"/>
    <w:tmpl w:val="5B1D2B3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5BC30213"/>
    <w:multiLevelType w:val="multilevel"/>
    <w:tmpl w:val="5BC3021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5D055B78"/>
    <w:multiLevelType w:val="multilevel"/>
    <w:tmpl w:val="5D055B78"/>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605B5574"/>
    <w:multiLevelType w:val="multilevel"/>
    <w:tmpl w:val="605B557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67267532"/>
    <w:multiLevelType w:val="multilevel"/>
    <w:tmpl w:val="6726753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7C82A25"/>
    <w:multiLevelType w:val="multilevel"/>
    <w:tmpl w:val="67C82A2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B501D7C"/>
    <w:multiLevelType w:val="multilevel"/>
    <w:tmpl w:val="6B501D7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A0107E"/>
    <w:multiLevelType w:val="multilevel"/>
    <w:tmpl w:val="6CA0107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CCD3B1D"/>
    <w:multiLevelType w:val="multilevel"/>
    <w:tmpl w:val="6CCD3B1D"/>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7C3373F8"/>
    <w:multiLevelType w:val="multilevel"/>
    <w:tmpl w:val="7C3373F8"/>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2"/>
  </w:num>
  <w:num w:numId="2">
    <w:abstractNumId w:val="14"/>
  </w:num>
  <w:num w:numId="3">
    <w:abstractNumId w:val="5"/>
  </w:num>
  <w:num w:numId="4">
    <w:abstractNumId w:val="11"/>
  </w:num>
  <w:num w:numId="5">
    <w:abstractNumId w:val="26"/>
  </w:num>
  <w:num w:numId="6">
    <w:abstractNumId w:val="21"/>
  </w:num>
  <w:num w:numId="7">
    <w:abstractNumId w:val="29"/>
  </w:num>
  <w:num w:numId="8">
    <w:abstractNumId w:val="6"/>
  </w:num>
  <w:num w:numId="9">
    <w:abstractNumId w:val="13"/>
  </w:num>
  <w:num w:numId="10">
    <w:abstractNumId w:val="0"/>
  </w:num>
  <w:num w:numId="11">
    <w:abstractNumId w:val="32"/>
  </w:num>
  <w:num w:numId="12">
    <w:abstractNumId w:val="22"/>
  </w:num>
  <w:num w:numId="13">
    <w:abstractNumId w:val="16"/>
  </w:num>
  <w:num w:numId="14">
    <w:abstractNumId w:val="7"/>
  </w:num>
  <w:num w:numId="15">
    <w:abstractNumId w:val="4"/>
  </w:num>
  <w:num w:numId="16">
    <w:abstractNumId w:val="8"/>
  </w:num>
  <w:num w:numId="17">
    <w:abstractNumId w:val="27"/>
  </w:num>
  <w:num w:numId="18">
    <w:abstractNumId w:val="23"/>
  </w:num>
  <w:num w:numId="19">
    <w:abstractNumId w:val="20"/>
  </w:num>
  <w:num w:numId="20">
    <w:abstractNumId w:val="18"/>
  </w:num>
  <w:num w:numId="21">
    <w:abstractNumId w:val="3"/>
  </w:num>
  <w:num w:numId="22">
    <w:abstractNumId w:val="9"/>
  </w:num>
  <w:num w:numId="23">
    <w:abstractNumId w:val="28"/>
  </w:num>
  <w:num w:numId="24">
    <w:abstractNumId w:val="2"/>
  </w:num>
  <w:num w:numId="25">
    <w:abstractNumId w:val="30"/>
  </w:num>
  <w:num w:numId="26">
    <w:abstractNumId w:val="19"/>
  </w:num>
  <w:num w:numId="27">
    <w:abstractNumId w:val="17"/>
  </w:num>
  <w:num w:numId="28">
    <w:abstractNumId w:val="34"/>
  </w:num>
  <w:num w:numId="29">
    <w:abstractNumId w:val="25"/>
  </w:num>
  <w:num w:numId="30">
    <w:abstractNumId w:val="10"/>
  </w:num>
  <w:num w:numId="31">
    <w:abstractNumId w:val="33"/>
  </w:num>
  <w:num w:numId="32">
    <w:abstractNumId w:val="15"/>
  </w:num>
  <w:num w:numId="33">
    <w:abstractNumId w:val="31"/>
  </w:num>
  <w:num w:numId="34">
    <w:abstractNumId w:val="1"/>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4"/>
    <w:footnote w:id="5"/>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3EE9"/>
    <w:rsid w:val="000048B0"/>
    <w:rsid w:val="00005B01"/>
    <w:rsid w:val="00006AFB"/>
    <w:rsid w:val="00006EAF"/>
    <w:rsid w:val="0000713B"/>
    <w:rsid w:val="000101E4"/>
    <w:rsid w:val="00010C11"/>
    <w:rsid w:val="0001103A"/>
    <w:rsid w:val="000131EF"/>
    <w:rsid w:val="00013628"/>
    <w:rsid w:val="00014334"/>
    <w:rsid w:val="000157D4"/>
    <w:rsid w:val="000158A7"/>
    <w:rsid w:val="00015A92"/>
    <w:rsid w:val="00015D58"/>
    <w:rsid w:val="00016232"/>
    <w:rsid w:val="0002052D"/>
    <w:rsid w:val="00020A6F"/>
    <w:rsid w:val="00021007"/>
    <w:rsid w:val="000238B2"/>
    <w:rsid w:val="00023BA8"/>
    <w:rsid w:val="00023BD1"/>
    <w:rsid w:val="00023E47"/>
    <w:rsid w:val="000247F9"/>
    <w:rsid w:val="00024A4A"/>
    <w:rsid w:val="000263ED"/>
    <w:rsid w:val="00026591"/>
    <w:rsid w:val="000275AC"/>
    <w:rsid w:val="000279D8"/>
    <w:rsid w:val="00027E61"/>
    <w:rsid w:val="00027F48"/>
    <w:rsid w:val="0003072E"/>
    <w:rsid w:val="00030D69"/>
    <w:rsid w:val="000315E6"/>
    <w:rsid w:val="00031806"/>
    <w:rsid w:val="000318DB"/>
    <w:rsid w:val="00031BAC"/>
    <w:rsid w:val="00031F80"/>
    <w:rsid w:val="00034890"/>
    <w:rsid w:val="000349C5"/>
    <w:rsid w:val="000375C2"/>
    <w:rsid w:val="0003796E"/>
    <w:rsid w:val="000401BF"/>
    <w:rsid w:val="000405B1"/>
    <w:rsid w:val="000420FE"/>
    <w:rsid w:val="00043555"/>
    <w:rsid w:val="00043D5F"/>
    <w:rsid w:val="00044C70"/>
    <w:rsid w:val="000469D0"/>
    <w:rsid w:val="00046AAA"/>
    <w:rsid w:val="00047201"/>
    <w:rsid w:val="0004768E"/>
    <w:rsid w:val="00050975"/>
    <w:rsid w:val="00051D94"/>
    <w:rsid w:val="00051DB3"/>
    <w:rsid w:val="000522EC"/>
    <w:rsid w:val="00054158"/>
    <w:rsid w:val="00054854"/>
    <w:rsid w:val="00055332"/>
    <w:rsid w:val="00055CB4"/>
    <w:rsid w:val="0005670B"/>
    <w:rsid w:val="000567FE"/>
    <w:rsid w:val="00060571"/>
    <w:rsid w:val="00061D74"/>
    <w:rsid w:val="000622F4"/>
    <w:rsid w:val="00062791"/>
    <w:rsid w:val="00063E49"/>
    <w:rsid w:val="00064F2B"/>
    <w:rsid w:val="00066944"/>
    <w:rsid w:val="00066A4B"/>
    <w:rsid w:val="00066F56"/>
    <w:rsid w:val="00066FC3"/>
    <w:rsid w:val="000677EE"/>
    <w:rsid w:val="00070C29"/>
    <w:rsid w:val="00071418"/>
    <w:rsid w:val="00071581"/>
    <w:rsid w:val="0007293A"/>
    <w:rsid w:val="00072D1F"/>
    <w:rsid w:val="00072EF5"/>
    <w:rsid w:val="000732F2"/>
    <w:rsid w:val="0007366C"/>
    <w:rsid w:val="00074189"/>
    <w:rsid w:val="00074306"/>
    <w:rsid w:val="000757BB"/>
    <w:rsid w:val="00076189"/>
    <w:rsid w:val="00077A9A"/>
    <w:rsid w:val="00077DDA"/>
    <w:rsid w:val="00080568"/>
    <w:rsid w:val="00080C2C"/>
    <w:rsid w:val="00081AD6"/>
    <w:rsid w:val="000820E2"/>
    <w:rsid w:val="00083319"/>
    <w:rsid w:val="000839AD"/>
    <w:rsid w:val="000853F6"/>
    <w:rsid w:val="00086585"/>
    <w:rsid w:val="000867A8"/>
    <w:rsid w:val="00087036"/>
    <w:rsid w:val="00087EDB"/>
    <w:rsid w:val="00091208"/>
    <w:rsid w:val="00091C44"/>
    <w:rsid w:val="00092843"/>
    <w:rsid w:val="000934F7"/>
    <w:rsid w:val="00093C11"/>
    <w:rsid w:val="000945CC"/>
    <w:rsid w:val="00094631"/>
    <w:rsid w:val="0009573A"/>
    <w:rsid w:val="000958D2"/>
    <w:rsid w:val="00096382"/>
    <w:rsid w:val="000972B0"/>
    <w:rsid w:val="0009795C"/>
    <w:rsid w:val="00097F80"/>
    <w:rsid w:val="000A0B14"/>
    <w:rsid w:val="000A2D2D"/>
    <w:rsid w:val="000A2E68"/>
    <w:rsid w:val="000A348F"/>
    <w:rsid w:val="000A45AB"/>
    <w:rsid w:val="000A5BF4"/>
    <w:rsid w:val="000B0078"/>
    <w:rsid w:val="000B0690"/>
    <w:rsid w:val="000B3B58"/>
    <w:rsid w:val="000B3EFD"/>
    <w:rsid w:val="000B5006"/>
    <w:rsid w:val="000B659B"/>
    <w:rsid w:val="000B6E9F"/>
    <w:rsid w:val="000C1F95"/>
    <w:rsid w:val="000C3DB1"/>
    <w:rsid w:val="000C54ED"/>
    <w:rsid w:val="000C5C02"/>
    <w:rsid w:val="000C6143"/>
    <w:rsid w:val="000C7382"/>
    <w:rsid w:val="000D1A22"/>
    <w:rsid w:val="000D1E06"/>
    <w:rsid w:val="000D35BD"/>
    <w:rsid w:val="000D5455"/>
    <w:rsid w:val="000D71CF"/>
    <w:rsid w:val="000D7225"/>
    <w:rsid w:val="000D722C"/>
    <w:rsid w:val="000D7277"/>
    <w:rsid w:val="000E0485"/>
    <w:rsid w:val="000E21D9"/>
    <w:rsid w:val="000E2E7D"/>
    <w:rsid w:val="000E34BA"/>
    <w:rsid w:val="000E34F3"/>
    <w:rsid w:val="000E3792"/>
    <w:rsid w:val="000E4205"/>
    <w:rsid w:val="000E5598"/>
    <w:rsid w:val="000E7CF6"/>
    <w:rsid w:val="000E7D1B"/>
    <w:rsid w:val="000E7DF4"/>
    <w:rsid w:val="000F0433"/>
    <w:rsid w:val="000F19D4"/>
    <w:rsid w:val="000F1D3C"/>
    <w:rsid w:val="000F2BB5"/>
    <w:rsid w:val="000F3D5D"/>
    <w:rsid w:val="000F4243"/>
    <w:rsid w:val="000F4811"/>
    <w:rsid w:val="000F4ABF"/>
    <w:rsid w:val="000F510B"/>
    <w:rsid w:val="000F5B66"/>
    <w:rsid w:val="000F5BE5"/>
    <w:rsid w:val="000F5FF6"/>
    <w:rsid w:val="000F65C5"/>
    <w:rsid w:val="000F6A6E"/>
    <w:rsid w:val="000F7056"/>
    <w:rsid w:val="000F7D2C"/>
    <w:rsid w:val="00100EB5"/>
    <w:rsid w:val="00100F0C"/>
    <w:rsid w:val="001025A3"/>
    <w:rsid w:val="00103497"/>
    <w:rsid w:val="001036A0"/>
    <w:rsid w:val="0010457E"/>
    <w:rsid w:val="00105BD7"/>
    <w:rsid w:val="001065F5"/>
    <w:rsid w:val="00110417"/>
    <w:rsid w:val="0011103A"/>
    <w:rsid w:val="00111E3E"/>
    <w:rsid w:val="001121A0"/>
    <w:rsid w:val="0011258E"/>
    <w:rsid w:val="001126F6"/>
    <w:rsid w:val="00112880"/>
    <w:rsid w:val="00112D64"/>
    <w:rsid w:val="00112F03"/>
    <w:rsid w:val="00112F3F"/>
    <w:rsid w:val="00115E7F"/>
    <w:rsid w:val="0011696D"/>
    <w:rsid w:val="0011782F"/>
    <w:rsid w:val="0012104D"/>
    <w:rsid w:val="00121681"/>
    <w:rsid w:val="00122F58"/>
    <w:rsid w:val="0012352A"/>
    <w:rsid w:val="00123BCB"/>
    <w:rsid w:val="0012411A"/>
    <w:rsid w:val="001242DE"/>
    <w:rsid w:val="00125B66"/>
    <w:rsid w:val="00125B8C"/>
    <w:rsid w:val="0012647A"/>
    <w:rsid w:val="00126EE1"/>
    <w:rsid w:val="00127044"/>
    <w:rsid w:val="001303B2"/>
    <w:rsid w:val="00130EED"/>
    <w:rsid w:val="00130F7B"/>
    <w:rsid w:val="00131F1B"/>
    <w:rsid w:val="0013364F"/>
    <w:rsid w:val="00133AAF"/>
    <w:rsid w:val="00133B98"/>
    <w:rsid w:val="0013472F"/>
    <w:rsid w:val="00134733"/>
    <w:rsid w:val="00134B7E"/>
    <w:rsid w:val="0013526A"/>
    <w:rsid w:val="001359ED"/>
    <w:rsid w:val="00140B25"/>
    <w:rsid w:val="0014427A"/>
    <w:rsid w:val="00144304"/>
    <w:rsid w:val="001450DF"/>
    <w:rsid w:val="001450E0"/>
    <w:rsid w:val="0014510B"/>
    <w:rsid w:val="0014734D"/>
    <w:rsid w:val="00151CC7"/>
    <w:rsid w:val="00151ED4"/>
    <w:rsid w:val="00152B36"/>
    <w:rsid w:val="001530B2"/>
    <w:rsid w:val="001542A4"/>
    <w:rsid w:val="001543E7"/>
    <w:rsid w:val="00154F7A"/>
    <w:rsid w:val="00155B77"/>
    <w:rsid w:val="00157DE3"/>
    <w:rsid w:val="00160569"/>
    <w:rsid w:val="00160CEC"/>
    <w:rsid w:val="00161000"/>
    <w:rsid w:val="00161E2F"/>
    <w:rsid w:val="001624A3"/>
    <w:rsid w:val="001624DA"/>
    <w:rsid w:val="00162BF5"/>
    <w:rsid w:val="00165BDE"/>
    <w:rsid w:val="00165E23"/>
    <w:rsid w:val="00166B3A"/>
    <w:rsid w:val="00170099"/>
    <w:rsid w:val="00170194"/>
    <w:rsid w:val="00170927"/>
    <w:rsid w:val="0017092A"/>
    <w:rsid w:val="00170A6E"/>
    <w:rsid w:val="00172B90"/>
    <w:rsid w:val="00173A2B"/>
    <w:rsid w:val="00173CE1"/>
    <w:rsid w:val="00174417"/>
    <w:rsid w:val="001749CF"/>
    <w:rsid w:val="001756AB"/>
    <w:rsid w:val="00175FA5"/>
    <w:rsid w:val="001760B1"/>
    <w:rsid w:val="00176B8E"/>
    <w:rsid w:val="00176C5A"/>
    <w:rsid w:val="001770F3"/>
    <w:rsid w:val="001774A0"/>
    <w:rsid w:val="00177BCC"/>
    <w:rsid w:val="0018179B"/>
    <w:rsid w:val="001821FF"/>
    <w:rsid w:val="0018251A"/>
    <w:rsid w:val="00184065"/>
    <w:rsid w:val="001846FB"/>
    <w:rsid w:val="00184C45"/>
    <w:rsid w:val="0019333A"/>
    <w:rsid w:val="00194E69"/>
    <w:rsid w:val="00194F44"/>
    <w:rsid w:val="00195ECF"/>
    <w:rsid w:val="00197DD9"/>
    <w:rsid w:val="001A059E"/>
    <w:rsid w:val="001A05F5"/>
    <w:rsid w:val="001A1C12"/>
    <w:rsid w:val="001A2434"/>
    <w:rsid w:val="001A422B"/>
    <w:rsid w:val="001A502C"/>
    <w:rsid w:val="001A57DB"/>
    <w:rsid w:val="001A586B"/>
    <w:rsid w:val="001A72FD"/>
    <w:rsid w:val="001A73F1"/>
    <w:rsid w:val="001B1D26"/>
    <w:rsid w:val="001B1E1E"/>
    <w:rsid w:val="001B25A3"/>
    <w:rsid w:val="001B272C"/>
    <w:rsid w:val="001B2F76"/>
    <w:rsid w:val="001B2F82"/>
    <w:rsid w:val="001B396B"/>
    <w:rsid w:val="001B413E"/>
    <w:rsid w:val="001B4B9C"/>
    <w:rsid w:val="001B57A4"/>
    <w:rsid w:val="001B72EB"/>
    <w:rsid w:val="001B7D0D"/>
    <w:rsid w:val="001C03B1"/>
    <w:rsid w:val="001C0516"/>
    <w:rsid w:val="001C13E9"/>
    <w:rsid w:val="001C26FF"/>
    <w:rsid w:val="001C4148"/>
    <w:rsid w:val="001C44B5"/>
    <w:rsid w:val="001C469F"/>
    <w:rsid w:val="001C6116"/>
    <w:rsid w:val="001C6DD2"/>
    <w:rsid w:val="001C78FF"/>
    <w:rsid w:val="001D0014"/>
    <w:rsid w:val="001D0B29"/>
    <w:rsid w:val="001D1C27"/>
    <w:rsid w:val="001D1D40"/>
    <w:rsid w:val="001D1F28"/>
    <w:rsid w:val="001D2A8B"/>
    <w:rsid w:val="001D3518"/>
    <w:rsid w:val="001D48EE"/>
    <w:rsid w:val="001D49AC"/>
    <w:rsid w:val="001D4BC9"/>
    <w:rsid w:val="001D4FE1"/>
    <w:rsid w:val="001D78FF"/>
    <w:rsid w:val="001E0062"/>
    <w:rsid w:val="001E0387"/>
    <w:rsid w:val="001E138F"/>
    <w:rsid w:val="001E1C4D"/>
    <w:rsid w:val="001E223F"/>
    <w:rsid w:val="001E4374"/>
    <w:rsid w:val="001E4A82"/>
    <w:rsid w:val="001E4C0D"/>
    <w:rsid w:val="001E4D03"/>
    <w:rsid w:val="001E4E95"/>
    <w:rsid w:val="001E55CB"/>
    <w:rsid w:val="001E57B9"/>
    <w:rsid w:val="001E6078"/>
    <w:rsid w:val="001E631F"/>
    <w:rsid w:val="001E6A8F"/>
    <w:rsid w:val="001F0A69"/>
    <w:rsid w:val="001F170E"/>
    <w:rsid w:val="001F1728"/>
    <w:rsid w:val="001F2658"/>
    <w:rsid w:val="001F3AD6"/>
    <w:rsid w:val="001F3CCB"/>
    <w:rsid w:val="001F5292"/>
    <w:rsid w:val="001F63BD"/>
    <w:rsid w:val="001F6775"/>
    <w:rsid w:val="001F69BF"/>
    <w:rsid w:val="0020004D"/>
    <w:rsid w:val="00200449"/>
    <w:rsid w:val="00200DF8"/>
    <w:rsid w:val="0020123C"/>
    <w:rsid w:val="0020196F"/>
    <w:rsid w:val="002024E9"/>
    <w:rsid w:val="0020590E"/>
    <w:rsid w:val="0020639A"/>
    <w:rsid w:val="002078BE"/>
    <w:rsid w:val="00210857"/>
    <w:rsid w:val="002119A2"/>
    <w:rsid w:val="00213632"/>
    <w:rsid w:val="002158C4"/>
    <w:rsid w:val="00215F66"/>
    <w:rsid w:val="00220657"/>
    <w:rsid w:val="0022162D"/>
    <w:rsid w:val="002222A4"/>
    <w:rsid w:val="002239BC"/>
    <w:rsid w:val="0022633B"/>
    <w:rsid w:val="00226F9D"/>
    <w:rsid w:val="0022731F"/>
    <w:rsid w:val="002276FA"/>
    <w:rsid w:val="00227C4F"/>
    <w:rsid w:val="0023096D"/>
    <w:rsid w:val="00230F4A"/>
    <w:rsid w:val="002319B1"/>
    <w:rsid w:val="00231B08"/>
    <w:rsid w:val="00232A54"/>
    <w:rsid w:val="0023376E"/>
    <w:rsid w:val="00234132"/>
    <w:rsid w:val="0023442E"/>
    <w:rsid w:val="0023523A"/>
    <w:rsid w:val="00235E45"/>
    <w:rsid w:val="002366EB"/>
    <w:rsid w:val="00237154"/>
    <w:rsid w:val="002379DD"/>
    <w:rsid w:val="00237FDB"/>
    <w:rsid w:val="0024053C"/>
    <w:rsid w:val="00241189"/>
    <w:rsid w:val="00241423"/>
    <w:rsid w:val="0024212E"/>
    <w:rsid w:val="002425DE"/>
    <w:rsid w:val="002436C1"/>
    <w:rsid w:val="00243DF5"/>
    <w:rsid w:val="00244895"/>
    <w:rsid w:val="00245106"/>
    <w:rsid w:val="00245D03"/>
    <w:rsid w:val="0024748B"/>
    <w:rsid w:val="002477F3"/>
    <w:rsid w:val="00247A7D"/>
    <w:rsid w:val="00250C6A"/>
    <w:rsid w:val="0025150E"/>
    <w:rsid w:val="0025159B"/>
    <w:rsid w:val="0025240A"/>
    <w:rsid w:val="00252B51"/>
    <w:rsid w:val="00253997"/>
    <w:rsid w:val="0025423C"/>
    <w:rsid w:val="00254A3C"/>
    <w:rsid w:val="00254A8B"/>
    <w:rsid w:val="00254D59"/>
    <w:rsid w:val="00255480"/>
    <w:rsid w:val="00255ECB"/>
    <w:rsid w:val="00256119"/>
    <w:rsid w:val="00256E57"/>
    <w:rsid w:val="0025744E"/>
    <w:rsid w:val="002579CC"/>
    <w:rsid w:val="00262279"/>
    <w:rsid w:val="0026261B"/>
    <w:rsid w:val="00263007"/>
    <w:rsid w:val="002644DA"/>
    <w:rsid w:val="0026641B"/>
    <w:rsid w:val="00266A6A"/>
    <w:rsid w:val="00266E3B"/>
    <w:rsid w:val="002672C8"/>
    <w:rsid w:val="00267465"/>
    <w:rsid w:val="00270665"/>
    <w:rsid w:val="0027128B"/>
    <w:rsid w:val="00271F27"/>
    <w:rsid w:val="00272261"/>
    <w:rsid w:val="00272C53"/>
    <w:rsid w:val="00272E20"/>
    <w:rsid w:val="00273681"/>
    <w:rsid w:val="002747E8"/>
    <w:rsid w:val="00274FAF"/>
    <w:rsid w:val="0027510A"/>
    <w:rsid w:val="002765F4"/>
    <w:rsid w:val="00276883"/>
    <w:rsid w:val="00277728"/>
    <w:rsid w:val="00277C1F"/>
    <w:rsid w:val="00277CC3"/>
    <w:rsid w:val="002817EA"/>
    <w:rsid w:val="002821D7"/>
    <w:rsid w:val="002824BB"/>
    <w:rsid w:val="00282F20"/>
    <w:rsid w:val="00283C4B"/>
    <w:rsid w:val="00285867"/>
    <w:rsid w:val="0029004F"/>
    <w:rsid w:val="00291A31"/>
    <w:rsid w:val="00291B84"/>
    <w:rsid w:val="00292B19"/>
    <w:rsid w:val="00292B5E"/>
    <w:rsid w:val="002932FC"/>
    <w:rsid w:val="00293B59"/>
    <w:rsid w:val="00294431"/>
    <w:rsid w:val="0029474A"/>
    <w:rsid w:val="00294B49"/>
    <w:rsid w:val="0029526F"/>
    <w:rsid w:val="00295538"/>
    <w:rsid w:val="00296EB4"/>
    <w:rsid w:val="00297034"/>
    <w:rsid w:val="00297598"/>
    <w:rsid w:val="002A046A"/>
    <w:rsid w:val="002A13F4"/>
    <w:rsid w:val="002A23E0"/>
    <w:rsid w:val="002A2E20"/>
    <w:rsid w:val="002A2FFA"/>
    <w:rsid w:val="002A32DF"/>
    <w:rsid w:val="002A46D7"/>
    <w:rsid w:val="002A6980"/>
    <w:rsid w:val="002A7DF5"/>
    <w:rsid w:val="002A7E94"/>
    <w:rsid w:val="002B064E"/>
    <w:rsid w:val="002B0795"/>
    <w:rsid w:val="002B0AC9"/>
    <w:rsid w:val="002B2620"/>
    <w:rsid w:val="002B3225"/>
    <w:rsid w:val="002B5694"/>
    <w:rsid w:val="002B659F"/>
    <w:rsid w:val="002B7037"/>
    <w:rsid w:val="002C021F"/>
    <w:rsid w:val="002C1C54"/>
    <w:rsid w:val="002C2056"/>
    <w:rsid w:val="002C23F7"/>
    <w:rsid w:val="002C275F"/>
    <w:rsid w:val="002C2ADA"/>
    <w:rsid w:val="002C3367"/>
    <w:rsid w:val="002C478A"/>
    <w:rsid w:val="002C50C0"/>
    <w:rsid w:val="002C513A"/>
    <w:rsid w:val="002C6302"/>
    <w:rsid w:val="002C7117"/>
    <w:rsid w:val="002C7CB4"/>
    <w:rsid w:val="002D0706"/>
    <w:rsid w:val="002D29FD"/>
    <w:rsid w:val="002D2AEC"/>
    <w:rsid w:val="002D2B97"/>
    <w:rsid w:val="002D2C1F"/>
    <w:rsid w:val="002E1382"/>
    <w:rsid w:val="002E32E2"/>
    <w:rsid w:val="002E4F2A"/>
    <w:rsid w:val="002E6AD0"/>
    <w:rsid w:val="002E6F55"/>
    <w:rsid w:val="002F04F4"/>
    <w:rsid w:val="002F0920"/>
    <w:rsid w:val="002F0E4E"/>
    <w:rsid w:val="002F344B"/>
    <w:rsid w:val="002F3FBD"/>
    <w:rsid w:val="002F606F"/>
    <w:rsid w:val="002F6956"/>
    <w:rsid w:val="002F709A"/>
    <w:rsid w:val="002F77A8"/>
    <w:rsid w:val="0030035F"/>
    <w:rsid w:val="00301619"/>
    <w:rsid w:val="00301AD3"/>
    <w:rsid w:val="00301E80"/>
    <w:rsid w:val="003025CE"/>
    <w:rsid w:val="00302755"/>
    <w:rsid w:val="00303458"/>
    <w:rsid w:val="003039FF"/>
    <w:rsid w:val="00304375"/>
    <w:rsid w:val="00304D18"/>
    <w:rsid w:val="003050A7"/>
    <w:rsid w:val="00305A15"/>
    <w:rsid w:val="00305F8C"/>
    <w:rsid w:val="00306353"/>
    <w:rsid w:val="00306D41"/>
    <w:rsid w:val="00307094"/>
    <w:rsid w:val="00307342"/>
    <w:rsid w:val="00310A72"/>
    <w:rsid w:val="00311C18"/>
    <w:rsid w:val="0031298C"/>
    <w:rsid w:val="00313619"/>
    <w:rsid w:val="00313D52"/>
    <w:rsid w:val="00313E33"/>
    <w:rsid w:val="00314235"/>
    <w:rsid w:val="00314E35"/>
    <w:rsid w:val="00320186"/>
    <w:rsid w:val="003206F0"/>
    <w:rsid w:val="00321DFA"/>
    <w:rsid w:val="003222FC"/>
    <w:rsid w:val="00324EC0"/>
    <w:rsid w:val="00325665"/>
    <w:rsid w:val="00325D85"/>
    <w:rsid w:val="0032607C"/>
    <w:rsid w:val="00326E7B"/>
    <w:rsid w:val="003305DB"/>
    <w:rsid w:val="0033166C"/>
    <w:rsid w:val="0033271D"/>
    <w:rsid w:val="0033358A"/>
    <w:rsid w:val="00333937"/>
    <w:rsid w:val="003342B8"/>
    <w:rsid w:val="0033504B"/>
    <w:rsid w:val="003362C7"/>
    <w:rsid w:val="00336A5A"/>
    <w:rsid w:val="00337043"/>
    <w:rsid w:val="00337AA0"/>
    <w:rsid w:val="00341B50"/>
    <w:rsid w:val="00342745"/>
    <w:rsid w:val="00342ADB"/>
    <w:rsid w:val="00343AA6"/>
    <w:rsid w:val="00343B0F"/>
    <w:rsid w:val="00344A27"/>
    <w:rsid w:val="00347006"/>
    <w:rsid w:val="00347D0D"/>
    <w:rsid w:val="003503AE"/>
    <w:rsid w:val="00351D7D"/>
    <w:rsid w:val="00351D8C"/>
    <w:rsid w:val="0035213A"/>
    <w:rsid w:val="00353419"/>
    <w:rsid w:val="00353D23"/>
    <w:rsid w:val="003555D3"/>
    <w:rsid w:val="00355D35"/>
    <w:rsid w:val="00356BEA"/>
    <w:rsid w:val="00360094"/>
    <w:rsid w:val="00361697"/>
    <w:rsid w:val="003627FB"/>
    <w:rsid w:val="00362826"/>
    <w:rsid w:val="00363EEF"/>
    <w:rsid w:val="0036403D"/>
    <w:rsid w:val="0036406A"/>
    <w:rsid w:val="0036455C"/>
    <w:rsid w:val="00365412"/>
    <w:rsid w:val="003656BF"/>
    <w:rsid w:val="00366074"/>
    <w:rsid w:val="00367122"/>
    <w:rsid w:val="00367428"/>
    <w:rsid w:val="0037055C"/>
    <w:rsid w:val="0037083D"/>
    <w:rsid w:val="00372402"/>
    <w:rsid w:val="003724FE"/>
    <w:rsid w:val="003726C4"/>
    <w:rsid w:val="003732C5"/>
    <w:rsid w:val="00374086"/>
    <w:rsid w:val="0037473E"/>
    <w:rsid w:val="003749F9"/>
    <w:rsid w:val="00375BEB"/>
    <w:rsid w:val="00375BF0"/>
    <w:rsid w:val="00376D78"/>
    <w:rsid w:val="0037725D"/>
    <w:rsid w:val="00377A25"/>
    <w:rsid w:val="00377B13"/>
    <w:rsid w:val="003800B4"/>
    <w:rsid w:val="003809E0"/>
    <w:rsid w:val="003814E2"/>
    <w:rsid w:val="00381E88"/>
    <w:rsid w:val="003821F9"/>
    <w:rsid w:val="00382548"/>
    <w:rsid w:val="003827CD"/>
    <w:rsid w:val="00382CF6"/>
    <w:rsid w:val="00383A99"/>
    <w:rsid w:val="00383D6D"/>
    <w:rsid w:val="00384713"/>
    <w:rsid w:val="00384D2B"/>
    <w:rsid w:val="003852EF"/>
    <w:rsid w:val="003870EE"/>
    <w:rsid w:val="00387750"/>
    <w:rsid w:val="00387A01"/>
    <w:rsid w:val="00387FA9"/>
    <w:rsid w:val="0039016C"/>
    <w:rsid w:val="003904B4"/>
    <w:rsid w:val="00393452"/>
    <w:rsid w:val="00394AD3"/>
    <w:rsid w:val="00394C2C"/>
    <w:rsid w:val="00395441"/>
    <w:rsid w:val="003964A0"/>
    <w:rsid w:val="00396F85"/>
    <w:rsid w:val="0039723A"/>
    <w:rsid w:val="003A1CB9"/>
    <w:rsid w:val="003A254C"/>
    <w:rsid w:val="003A27B8"/>
    <w:rsid w:val="003A3D8C"/>
    <w:rsid w:val="003A539D"/>
    <w:rsid w:val="003A5FA1"/>
    <w:rsid w:val="003A6074"/>
    <w:rsid w:val="003A7623"/>
    <w:rsid w:val="003B1725"/>
    <w:rsid w:val="003B242C"/>
    <w:rsid w:val="003B324C"/>
    <w:rsid w:val="003B43EE"/>
    <w:rsid w:val="003B4D64"/>
    <w:rsid w:val="003B531F"/>
    <w:rsid w:val="003B5CA2"/>
    <w:rsid w:val="003B5DFB"/>
    <w:rsid w:val="003B6220"/>
    <w:rsid w:val="003B636C"/>
    <w:rsid w:val="003B64ED"/>
    <w:rsid w:val="003B6F1F"/>
    <w:rsid w:val="003B76DC"/>
    <w:rsid w:val="003C09CF"/>
    <w:rsid w:val="003C1725"/>
    <w:rsid w:val="003C1E93"/>
    <w:rsid w:val="003C2161"/>
    <w:rsid w:val="003C3FAC"/>
    <w:rsid w:val="003C596C"/>
    <w:rsid w:val="003C68CB"/>
    <w:rsid w:val="003C7751"/>
    <w:rsid w:val="003C7D92"/>
    <w:rsid w:val="003D03AF"/>
    <w:rsid w:val="003D07CA"/>
    <w:rsid w:val="003D1FE5"/>
    <w:rsid w:val="003D2F54"/>
    <w:rsid w:val="003D3735"/>
    <w:rsid w:val="003D5148"/>
    <w:rsid w:val="003D6081"/>
    <w:rsid w:val="003D6720"/>
    <w:rsid w:val="003D6B3F"/>
    <w:rsid w:val="003D7951"/>
    <w:rsid w:val="003E030F"/>
    <w:rsid w:val="003E1EFB"/>
    <w:rsid w:val="003E263D"/>
    <w:rsid w:val="003E2B26"/>
    <w:rsid w:val="003E4299"/>
    <w:rsid w:val="003E4F77"/>
    <w:rsid w:val="003E52BE"/>
    <w:rsid w:val="003E6D92"/>
    <w:rsid w:val="003E6F85"/>
    <w:rsid w:val="003E70B9"/>
    <w:rsid w:val="003E7812"/>
    <w:rsid w:val="003F182B"/>
    <w:rsid w:val="003F1FE7"/>
    <w:rsid w:val="003F2136"/>
    <w:rsid w:val="003F277A"/>
    <w:rsid w:val="003F3190"/>
    <w:rsid w:val="003F31E6"/>
    <w:rsid w:val="003F40F9"/>
    <w:rsid w:val="003F4C40"/>
    <w:rsid w:val="003F52FE"/>
    <w:rsid w:val="003F580D"/>
    <w:rsid w:val="003F61D7"/>
    <w:rsid w:val="00401F3A"/>
    <w:rsid w:val="0040272E"/>
    <w:rsid w:val="00402A2A"/>
    <w:rsid w:val="00402EA0"/>
    <w:rsid w:val="00403387"/>
    <w:rsid w:val="004041C9"/>
    <w:rsid w:val="004062A5"/>
    <w:rsid w:val="00406A47"/>
    <w:rsid w:val="004079CC"/>
    <w:rsid w:val="004106A7"/>
    <w:rsid w:val="00410F85"/>
    <w:rsid w:val="00412823"/>
    <w:rsid w:val="0041382E"/>
    <w:rsid w:val="00413D00"/>
    <w:rsid w:val="00414410"/>
    <w:rsid w:val="00414992"/>
    <w:rsid w:val="00415186"/>
    <w:rsid w:val="00415386"/>
    <w:rsid w:val="00415413"/>
    <w:rsid w:val="00416ED0"/>
    <w:rsid w:val="004175B0"/>
    <w:rsid w:val="00421C9B"/>
    <w:rsid w:val="00422686"/>
    <w:rsid w:val="00422B8E"/>
    <w:rsid w:val="004233D8"/>
    <w:rsid w:val="0042438A"/>
    <w:rsid w:val="00426041"/>
    <w:rsid w:val="0042620B"/>
    <w:rsid w:val="00426CBC"/>
    <w:rsid w:val="00426FE6"/>
    <w:rsid w:val="00427756"/>
    <w:rsid w:val="00427CC0"/>
    <w:rsid w:val="0043002F"/>
    <w:rsid w:val="004302AA"/>
    <w:rsid w:val="004303B3"/>
    <w:rsid w:val="00430927"/>
    <w:rsid w:val="0043134E"/>
    <w:rsid w:val="0043162A"/>
    <w:rsid w:val="00432AFE"/>
    <w:rsid w:val="0043308A"/>
    <w:rsid w:val="00433113"/>
    <w:rsid w:val="004340D6"/>
    <w:rsid w:val="00434262"/>
    <w:rsid w:val="00436062"/>
    <w:rsid w:val="0043673C"/>
    <w:rsid w:val="00436801"/>
    <w:rsid w:val="00437DA0"/>
    <w:rsid w:val="00440ACF"/>
    <w:rsid w:val="004412CE"/>
    <w:rsid w:val="00441877"/>
    <w:rsid w:val="00442603"/>
    <w:rsid w:val="00442B95"/>
    <w:rsid w:val="00444898"/>
    <w:rsid w:val="004457E4"/>
    <w:rsid w:val="00445E88"/>
    <w:rsid w:val="004469BC"/>
    <w:rsid w:val="0044781C"/>
    <w:rsid w:val="004509F6"/>
    <w:rsid w:val="00453254"/>
    <w:rsid w:val="004532CC"/>
    <w:rsid w:val="0045366F"/>
    <w:rsid w:val="00453749"/>
    <w:rsid w:val="004539F0"/>
    <w:rsid w:val="00453F4D"/>
    <w:rsid w:val="00455D49"/>
    <w:rsid w:val="00455DF1"/>
    <w:rsid w:val="00456A0F"/>
    <w:rsid w:val="0046092C"/>
    <w:rsid w:val="00460F22"/>
    <w:rsid w:val="0046446A"/>
    <w:rsid w:val="004645D0"/>
    <w:rsid w:val="00464A97"/>
    <w:rsid w:val="00464FA6"/>
    <w:rsid w:val="004651E5"/>
    <w:rsid w:val="0046607F"/>
    <w:rsid w:val="00466B93"/>
    <w:rsid w:val="00467543"/>
    <w:rsid w:val="004676E4"/>
    <w:rsid w:val="0046796E"/>
    <w:rsid w:val="00467E09"/>
    <w:rsid w:val="004707EC"/>
    <w:rsid w:val="00470F11"/>
    <w:rsid w:val="0047173F"/>
    <w:rsid w:val="00471C45"/>
    <w:rsid w:val="00472203"/>
    <w:rsid w:val="004722FE"/>
    <w:rsid w:val="00472A2C"/>
    <w:rsid w:val="004739B2"/>
    <w:rsid w:val="00473DED"/>
    <w:rsid w:val="00473ED0"/>
    <w:rsid w:val="00474070"/>
    <w:rsid w:val="00474ADA"/>
    <w:rsid w:val="004761F8"/>
    <w:rsid w:val="0047624F"/>
    <w:rsid w:val="00476551"/>
    <w:rsid w:val="00476764"/>
    <w:rsid w:val="00477506"/>
    <w:rsid w:val="00477994"/>
    <w:rsid w:val="00480ED0"/>
    <w:rsid w:val="004815FB"/>
    <w:rsid w:val="00481CB0"/>
    <w:rsid w:val="00482251"/>
    <w:rsid w:val="00482CC2"/>
    <w:rsid w:val="004835E4"/>
    <w:rsid w:val="004838F5"/>
    <w:rsid w:val="00483A00"/>
    <w:rsid w:val="00483D82"/>
    <w:rsid w:val="00484CF0"/>
    <w:rsid w:val="0048562B"/>
    <w:rsid w:val="004856F7"/>
    <w:rsid w:val="00485E98"/>
    <w:rsid w:val="00485EE5"/>
    <w:rsid w:val="00487169"/>
    <w:rsid w:val="00490539"/>
    <w:rsid w:val="00490732"/>
    <w:rsid w:val="004907EE"/>
    <w:rsid w:val="00490BAF"/>
    <w:rsid w:val="00490BBC"/>
    <w:rsid w:val="004910C2"/>
    <w:rsid w:val="00491342"/>
    <w:rsid w:val="00491B25"/>
    <w:rsid w:val="004923DC"/>
    <w:rsid w:val="004925DF"/>
    <w:rsid w:val="0049285A"/>
    <w:rsid w:val="004929D1"/>
    <w:rsid w:val="004939CA"/>
    <w:rsid w:val="004945C5"/>
    <w:rsid w:val="0049607E"/>
    <w:rsid w:val="00497D5C"/>
    <w:rsid w:val="004A114E"/>
    <w:rsid w:val="004A1D81"/>
    <w:rsid w:val="004A237A"/>
    <w:rsid w:val="004A243A"/>
    <w:rsid w:val="004A2756"/>
    <w:rsid w:val="004A49CD"/>
    <w:rsid w:val="004A4AED"/>
    <w:rsid w:val="004A58D1"/>
    <w:rsid w:val="004A5CB2"/>
    <w:rsid w:val="004A5E88"/>
    <w:rsid w:val="004A65C0"/>
    <w:rsid w:val="004A6C11"/>
    <w:rsid w:val="004B1E66"/>
    <w:rsid w:val="004B35AE"/>
    <w:rsid w:val="004B3D0B"/>
    <w:rsid w:val="004B4001"/>
    <w:rsid w:val="004B44B5"/>
    <w:rsid w:val="004B48C5"/>
    <w:rsid w:val="004B4B39"/>
    <w:rsid w:val="004B6EA9"/>
    <w:rsid w:val="004B735F"/>
    <w:rsid w:val="004B77FF"/>
    <w:rsid w:val="004C03A8"/>
    <w:rsid w:val="004C0BA0"/>
    <w:rsid w:val="004C0F0C"/>
    <w:rsid w:val="004C18BE"/>
    <w:rsid w:val="004C1C90"/>
    <w:rsid w:val="004C49FA"/>
    <w:rsid w:val="004C4C9B"/>
    <w:rsid w:val="004C4EA4"/>
    <w:rsid w:val="004C7C47"/>
    <w:rsid w:val="004D0388"/>
    <w:rsid w:val="004D0478"/>
    <w:rsid w:val="004D0A93"/>
    <w:rsid w:val="004D20F5"/>
    <w:rsid w:val="004D2AAB"/>
    <w:rsid w:val="004D34C0"/>
    <w:rsid w:val="004D34DD"/>
    <w:rsid w:val="004D382B"/>
    <w:rsid w:val="004D3B10"/>
    <w:rsid w:val="004D40AF"/>
    <w:rsid w:val="004D49D8"/>
    <w:rsid w:val="004D5256"/>
    <w:rsid w:val="004D6E8F"/>
    <w:rsid w:val="004D73A7"/>
    <w:rsid w:val="004D7BA3"/>
    <w:rsid w:val="004E1BE8"/>
    <w:rsid w:val="004E3B6D"/>
    <w:rsid w:val="004E3C6A"/>
    <w:rsid w:val="004E46B0"/>
    <w:rsid w:val="004E5024"/>
    <w:rsid w:val="004E5512"/>
    <w:rsid w:val="004E645B"/>
    <w:rsid w:val="004E71DE"/>
    <w:rsid w:val="004F1A36"/>
    <w:rsid w:val="004F3AC9"/>
    <w:rsid w:val="004F3E60"/>
    <w:rsid w:val="004F46F0"/>
    <w:rsid w:val="004F4F78"/>
    <w:rsid w:val="004F55EC"/>
    <w:rsid w:val="004F5841"/>
    <w:rsid w:val="005013A2"/>
    <w:rsid w:val="005019F1"/>
    <w:rsid w:val="0050209F"/>
    <w:rsid w:val="00502451"/>
    <w:rsid w:val="00502ABF"/>
    <w:rsid w:val="00502B15"/>
    <w:rsid w:val="0050386F"/>
    <w:rsid w:val="00503B71"/>
    <w:rsid w:val="00503D3F"/>
    <w:rsid w:val="005041D5"/>
    <w:rsid w:val="005071D2"/>
    <w:rsid w:val="00510526"/>
    <w:rsid w:val="00510823"/>
    <w:rsid w:val="00511063"/>
    <w:rsid w:val="005113A6"/>
    <w:rsid w:val="0051208D"/>
    <w:rsid w:val="00512AC8"/>
    <w:rsid w:val="00514D9A"/>
    <w:rsid w:val="00515789"/>
    <w:rsid w:val="00516DA1"/>
    <w:rsid w:val="005173BF"/>
    <w:rsid w:val="005201F1"/>
    <w:rsid w:val="00520ACC"/>
    <w:rsid w:val="00520B0B"/>
    <w:rsid w:val="005212D4"/>
    <w:rsid w:val="00522AA1"/>
    <w:rsid w:val="005230EF"/>
    <w:rsid w:val="0052415B"/>
    <w:rsid w:val="0052533C"/>
    <w:rsid w:val="00525CA0"/>
    <w:rsid w:val="00526313"/>
    <w:rsid w:val="005266CB"/>
    <w:rsid w:val="00526EBD"/>
    <w:rsid w:val="00527941"/>
    <w:rsid w:val="00527FBD"/>
    <w:rsid w:val="0053052D"/>
    <w:rsid w:val="0053069A"/>
    <w:rsid w:val="005308B0"/>
    <w:rsid w:val="005309DB"/>
    <w:rsid w:val="00530E1F"/>
    <w:rsid w:val="00533FCE"/>
    <w:rsid w:val="0053444E"/>
    <w:rsid w:val="005350FA"/>
    <w:rsid w:val="0053510C"/>
    <w:rsid w:val="005352C6"/>
    <w:rsid w:val="00535C8A"/>
    <w:rsid w:val="00535CD5"/>
    <w:rsid w:val="005362B4"/>
    <w:rsid w:val="0053633A"/>
    <w:rsid w:val="00536E3A"/>
    <w:rsid w:val="005400DC"/>
    <w:rsid w:val="0054147A"/>
    <w:rsid w:val="00542CCA"/>
    <w:rsid w:val="0054309D"/>
    <w:rsid w:val="00543363"/>
    <w:rsid w:val="005436F3"/>
    <w:rsid w:val="00544451"/>
    <w:rsid w:val="005449D5"/>
    <w:rsid w:val="00544A6C"/>
    <w:rsid w:val="00544C85"/>
    <w:rsid w:val="005458FB"/>
    <w:rsid w:val="005461EC"/>
    <w:rsid w:val="00551427"/>
    <w:rsid w:val="00551C0A"/>
    <w:rsid w:val="00553857"/>
    <w:rsid w:val="00554430"/>
    <w:rsid w:val="00555DCF"/>
    <w:rsid w:val="00555F85"/>
    <w:rsid w:val="00560551"/>
    <w:rsid w:val="00560B05"/>
    <w:rsid w:val="00561FE9"/>
    <w:rsid w:val="00562804"/>
    <w:rsid w:val="00562DC7"/>
    <w:rsid w:val="00564093"/>
    <w:rsid w:val="00564F46"/>
    <w:rsid w:val="005659B2"/>
    <w:rsid w:val="00566CB6"/>
    <w:rsid w:val="00567AAC"/>
    <w:rsid w:val="00572A2F"/>
    <w:rsid w:val="00572C28"/>
    <w:rsid w:val="00572D91"/>
    <w:rsid w:val="00574893"/>
    <w:rsid w:val="00575E03"/>
    <w:rsid w:val="00576B9E"/>
    <w:rsid w:val="005774E9"/>
    <w:rsid w:val="00577555"/>
    <w:rsid w:val="005803FA"/>
    <w:rsid w:val="005806F8"/>
    <w:rsid w:val="00583A5E"/>
    <w:rsid w:val="005856D2"/>
    <w:rsid w:val="005864BB"/>
    <w:rsid w:val="005909A0"/>
    <w:rsid w:val="00590CD8"/>
    <w:rsid w:val="00591904"/>
    <w:rsid w:val="00593310"/>
    <w:rsid w:val="005939E4"/>
    <w:rsid w:val="0059593D"/>
    <w:rsid w:val="00595C4D"/>
    <w:rsid w:val="005960D5"/>
    <w:rsid w:val="00597142"/>
    <w:rsid w:val="00597498"/>
    <w:rsid w:val="0059767A"/>
    <w:rsid w:val="00597B28"/>
    <w:rsid w:val="005A0462"/>
    <w:rsid w:val="005A43FC"/>
    <w:rsid w:val="005A4F64"/>
    <w:rsid w:val="005A6007"/>
    <w:rsid w:val="005A6752"/>
    <w:rsid w:val="005A6DE4"/>
    <w:rsid w:val="005A7236"/>
    <w:rsid w:val="005A7777"/>
    <w:rsid w:val="005B08B3"/>
    <w:rsid w:val="005B0F07"/>
    <w:rsid w:val="005B16D7"/>
    <w:rsid w:val="005B1BB5"/>
    <w:rsid w:val="005B37DB"/>
    <w:rsid w:val="005B3AC2"/>
    <w:rsid w:val="005B439F"/>
    <w:rsid w:val="005B49CC"/>
    <w:rsid w:val="005B52A5"/>
    <w:rsid w:val="005B5BFA"/>
    <w:rsid w:val="005B62FA"/>
    <w:rsid w:val="005B6576"/>
    <w:rsid w:val="005C0395"/>
    <w:rsid w:val="005C09F1"/>
    <w:rsid w:val="005C0B01"/>
    <w:rsid w:val="005C1934"/>
    <w:rsid w:val="005C1CF3"/>
    <w:rsid w:val="005C24A3"/>
    <w:rsid w:val="005C2FE8"/>
    <w:rsid w:val="005C37A8"/>
    <w:rsid w:val="005C3B0D"/>
    <w:rsid w:val="005C4B2D"/>
    <w:rsid w:val="005C5BC2"/>
    <w:rsid w:val="005C6152"/>
    <w:rsid w:val="005C72E9"/>
    <w:rsid w:val="005C79F4"/>
    <w:rsid w:val="005D163E"/>
    <w:rsid w:val="005D2986"/>
    <w:rsid w:val="005D2D0B"/>
    <w:rsid w:val="005D33A6"/>
    <w:rsid w:val="005D3D8D"/>
    <w:rsid w:val="005D4199"/>
    <w:rsid w:val="005D4B30"/>
    <w:rsid w:val="005D4D03"/>
    <w:rsid w:val="005D5292"/>
    <w:rsid w:val="005D5470"/>
    <w:rsid w:val="005D637B"/>
    <w:rsid w:val="005D6C4A"/>
    <w:rsid w:val="005D6FD2"/>
    <w:rsid w:val="005E0829"/>
    <w:rsid w:val="005E0C6F"/>
    <w:rsid w:val="005E14F6"/>
    <w:rsid w:val="005E162C"/>
    <w:rsid w:val="005E26A1"/>
    <w:rsid w:val="005E2D33"/>
    <w:rsid w:val="005E34BF"/>
    <w:rsid w:val="005E46AD"/>
    <w:rsid w:val="005E494F"/>
    <w:rsid w:val="005E5312"/>
    <w:rsid w:val="005E588E"/>
    <w:rsid w:val="005E5F0F"/>
    <w:rsid w:val="005E695B"/>
    <w:rsid w:val="005E73CE"/>
    <w:rsid w:val="005E7E5C"/>
    <w:rsid w:val="005F0711"/>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5ED2"/>
    <w:rsid w:val="00606E54"/>
    <w:rsid w:val="0060733C"/>
    <w:rsid w:val="0061140B"/>
    <w:rsid w:val="00613453"/>
    <w:rsid w:val="0061470B"/>
    <w:rsid w:val="00615D22"/>
    <w:rsid w:val="00616AE1"/>
    <w:rsid w:val="00617F6B"/>
    <w:rsid w:val="0062067C"/>
    <w:rsid w:val="006214AD"/>
    <w:rsid w:val="0062541F"/>
    <w:rsid w:val="00625863"/>
    <w:rsid w:val="006260E5"/>
    <w:rsid w:val="00627A9B"/>
    <w:rsid w:val="00627B69"/>
    <w:rsid w:val="00631631"/>
    <w:rsid w:val="00633754"/>
    <w:rsid w:val="00633D08"/>
    <w:rsid w:val="00635E85"/>
    <w:rsid w:val="00636D8C"/>
    <w:rsid w:val="006371FF"/>
    <w:rsid w:val="00643DD9"/>
    <w:rsid w:val="006444CA"/>
    <w:rsid w:val="0064466B"/>
    <w:rsid w:val="00644A75"/>
    <w:rsid w:val="00645B41"/>
    <w:rsid w:val="00646CF1"/>
    <w:rsid w:val="006472A0"/>
    <w:rsid w:val="00650768"/>
    <w:rsid w:val="00651512"/>
    <w:rsid w:val="00653665"/>
    <w:rsid w:val="00653E27"/>
    <w:rsid w:val="00653F0A"/>
    <w:rsid w:val="00654956"/>
    <w:rsid w:val="00654DE7"/>
    <w:rsid w:val="0065533C"/>
    <w:rsid w:val="00656A9D"/>
    <w:rsid w:val="00656F5E"/>
    <w:rsid w:val="00657991"/>
    <w:rsid w:val="00660D19"/>
    <w:rsid w:val="0066229E"/>
    <w:rsid w:val="00662CBC"/>
    <w:rsid w:val="00663A09"/>
    <w:rsid w:val="006673C9"/>
    <w:rsid w:val="0067038D"/>
    <w:rsid w:val="00671A6A"/>
    <w:rsid w:val="006729D2"/>
    <w:rsid w:val="00673ABF"/>
    <w:rsid w:val="00673F0C"/>
    <w:rsid w:val="00674B4E"/>
    <w:rsid w:val="00675531"/>
    <w:rsid w:val="00676223"/>
    <w:rsid w:val="006764FB"/>
    <w:rsid w:val="00676A38"/>
    <w:rsid w:val="0067775E"/>
    <w:rsid w:val="00680098"/>
    <w:rsid w:val="00680957"/>
    <w:rsid w:val="00682081"/>
    <w:rsid w:val="00682CFC"/>
    <w:rsid w:val="00683B13"/>
    <w:rsid w:val="00684C2D"/>
    <w:rsid w:val="00686325"/>
    <w:rsid w:val="00686EC4"/>
    <w:rsid w:val="00687063"/>
    <w:rsid w:val="0069086C"/>
    <w:rsid w:val="00691425"/>
    <w:rsid w:val="00695591"/>
    <w:rsid w:val="00695AF8"/>
    <w:rsid w:val="00695E17"/>
    <w:rsid w:val="00696763"/>
    <w:rsid w:val="00696C78"/>
    <w:rsid w:val="00696CDA"/>
    <w:rsid w:val="0069734A"/>
    <w:rsid w:val="00697B2E"/>
    <w:rsid w:val="006A0614"/>
    <w:rsid w:val="006A139A"/>
    <w:rsid w:val="006A1939"/>
    <w:rsid w:val="006A303A"/>
    <w:rsid w:val="006A45A4"/>
    <w:rsid w:val="006A51F2"/>
    <w:rsid w:val="006A5663"/>
    <w:rsid w:val="006A5C3E"/>
    <w:rsid w:val="006A71CC"/>
    <w:rsid w:val="006B0367"/>
    <w:rsid w:val="006B147C"/>
    <w:rsid w:val="006B1A17"/>
    <w:rsid w:val="006B1E00"/>
    <w:rsid w:val="006B202A"/>
    <w:rsid w:val="006B3AD9"/>
    <w:rsid w:val="006B4802"/>
    <w:rsid w:val="006B5097"/>
    <w:rsid w:val="006B5516"/>
    <w:rsid w:val="006B5D36"/>
    <w:rsid w:val="006B7A09"/>
    <w:rsid w:val="006B7F36"/>
    <w:rsid w:val="006C07FE"/>
    <w:rsid w:val="006C42CE"/>
    <w:rsid w:val="006C4A33"/>
    <w:rsid w:val="006C5486"/>
    <w:rsid w:val="006C592D"/>
    <w:rsid w:val="006C5D93"/>
    <w:rsid w:val="006C74B3"/>
    <w:rsid w:val="006C7EF9"/>
    <w:rsid w:val="006D0796"/>
    <w:rsid w:val="006D17F4"/>
    <w:rsid w:val="006D209C"/>
    <w:rsid w:val="006D34E4"/>
    <w:rsid w:val="006D3791"/>
    <w:rsid w:val="006D39EB"/>
    <w:rsid w:val="006D465F"/>
    <w:rsid w:val="006D46A6"/>
    <w:rsid w:val="006D4B56"/>
    <w:rsid w:val="006D5027"/>
    <w:rsid w:val="006D7209"/>
    <w:rsid w:val="006E0637"/>
    <w:rsid w:val="006E11C9"/>
    <w:rsid w:val="006E17E3"/>
    <w:rsid w:val="006E31AE"/>
    <w:rsid w:val="006E4984"/>
    <w:rsid w:val="006E5D66"/>
    <w:rsid w:val="006E5E71"/>
    <w:rsid w:val="006E7EFC"/>
    <w:rsid w:val="006F0152"/>
    <w:rsid w:val="006F0345"/>
    <w:rsid w:val="006F0A6C"/>
    <w:rsid w:val="006F2A05"/>
    <w:rsid w:val="006F32BF"/>
    <w:rsid w:val="006F38F6"/>
    <w:rsid w:val="006F3989"/>
    <w:rsid w:val="006F4219"/>
    <w:rsid w:val="006F4649"/>
    <w:rsid w:val="006F48E2"/>
    <w:rsid w:val="006F4A0B"/>
    <w:rsid w:val="006F55D6"/>
    <w:rsid w:val="006F575A"/>
    <w:rsid w:val="006F659B"/>
    <w:rsid w:val="00700449"/>
    <w:rsid w:val="00700A73"/>
    <w:rsid w:val="007015E9"/>
    <w:rsid w:val="00701DF9"/>
    <w:rsid w:val="0070238A"/>
    <w:rsid w:val="00702886"/>
    <w:rsid w:val="00702A10"/>
    <w:rsid w:val="0070394A"/>
    <w:rsid w:val="007040A1"/>
    <w:rsid w:val="0070484E"/>
    <w:rsid w:val="007049E5"/>
    <w:rsid w:val="00704ED8"/>
    <w:rsid w:val="007054F6"/>
    <w:rsid w:val="00705AE8"/>
    <w:rsid w:val="0070601C"/>
    <w:rsid w:val="0070630B"/>
    <w:rsid w:val="00706B2A"/>
    <w:rsid w:val="00707008"/>
    <w:rsid w:val="00710993"/>
    <w:rsid w:val="00710AA5"/>
    <w:rsid w:val="00712884"/>
    <w:rsid w:val="0071356B"/>
    <w:rsid w:val="00713C6D"/>
    <w:rsid w:val="00715090"/>
    <w:rsid w:val="00715379"/>
    <w:rsid w:val="0071587A"/>
    <w:rsid w:val="007159EB"/>
    <w:rsid w:val="007160E0"/>
    <w:rsid w:val="00716CDF"/>
    <w:rsid w:val="00716E3F"/>
    <w:rsid w:val="00717CB0"/>
    <w:rsid w:val="00717DE7"/>
    <w:rsid w:val="00720629"/>
    <w:rsid w:val="00720B16"/>
    <w:rsid w:val="007219C5"/>
    <w:rsid w:val="007223FC"/>
    <w:rsid w:val="00722613"/>
    <w:rsid w:val="0072277B"/>
    <w:rsid w:val="00723E51"/>
    <w:rsid w:val="00725CF6"/>
    <w:rsid w:val="00725F23"/>
    <w:rsid w:val="007267EB"/>
    <w:rsid w:val="0072737A"/>
    <w:rsid w:val="00730159"/>
    <w:rsid w:val="00730C0D"/>
    <w:rsid w:val="0073129C"/>
    <w:rsid w:val="00731C60"/>
    <w:rsid w:val="00731D68"/>
    <w:rsid w:val="007339DB"/>
    <w:rsid w:val="007340ED"/>
    <w:rsid w:val="007356FC"/>
    <w:rsid w:val="00735A44"/>
    <w:rsid w:val="00735CE3"/>
    <w:rsid w:val="00736DD5"/>
    <w:rsid w:val="00737253"/>
    <w:rsid w:val="007372BE"/>
    <w:rsid w:val="0073765E"/>
    <w:rsid w:val="007407D3"/>
    <w:rsid w:val="0074101E"/>
    <w:rsid w:val="0074150A"/>
    <w:rsid w:val="00741FEC"/>
    <w:rsid w:val="007433D3"/>
    <w:rsid w:val="00743939"/>
    <w:rsid w:val="00743A86"/>
    <w:rsid w:val="00743F1B"/>
    <w:rsid w:val="0074430F"/>
    <w:rsid w:val="007448B9"/>
    <w:rsid w:val="007461C3"/>
    <w:rsid w:val="007468E9"/>
    <w:rsid w:val="00746BED"/>
    <w:rsid w:val="00746E9B"/>
    <w:rsid w:val="00747D71"/>
    <w:rsid w:val="00750288"/>
    <w:rsid w:val="00751BF1"/>
    <w:rsid w:val="00752F14"/>
    <w:rsid w:val="007537F1"/>
    <w:rsid w:val="00755C58"/>
    <w:rsid w:val="00756643"/>
    <w:rsid w:val="007567FF"/>
    <w:rsid w:val="00756DA9"/>
    <w:rsid w:val="0075794D"/>
    <w:rsid w:val="007608C8"/>
    <w:rsid w:val="00761696"/>
    <w:rsid w:val="00761834"/>
    <w:rsid w:val="00761D56"/>
    <w:rsid w:val="007620D8"/>
    <w:rsid w:val="00762A26"/>
    <w:rsid w:val="007631A8"/>
    <w:rsid w:val="007641E3"/>
    <w:rsid w:val="0076420A"/>
    <w:rsid w:val="0076492F"/>
    <w:rsid w:val="00764D0F"/>
    <w:rsid w:val="00764E6F"/>
    <w:rsid w:val="00764ED5"/>
    <w:rsid w:val="007665AE"/>
    <w:rsid w:val="007665E7"/>
    <w:rsid w:val="00767776"/>
    <w:rsid w:val="00767809"/>
    <w:rsid w:val="007714AE"/>
    <w:rsid w:val="00773845"/>
    <w:rsid w:val="0077605D"/>
    <w:rsid w:val="00776AC8"/>
    <w:rsid w:val="0077746C"/>
    <w:rsid w:val="007806D6"/>
    <w:rsid w:val="00780896"/>
    <w:rsid w:val="00780E48"/>
    <w:rsid w:val="00780FF2"/>
    <w:rsid w:val="007815A1"/>
    <w:rsid w:val="00783BF6"/>
    <w:rsid w:val="00783F46"/>
    <w:rsid w:val="007845D3"/>
    <w:rsid w:val="0078501F"/>
    <w:rsid w:val="00785229"/>
    <w:rsid w:val="007905BD"/>
    <w:rsid w:val="0079186B"/>
    <w:rsid w:val="007919EE"/>
    <w:rsid w:val="00793312"/>
    <w:rsid w:val="0079391A"/>
    <w:rsid w:val="00794B5C"/>
    <w:rsid w:val="00796A9E"/>
    <w:rsid w:val="00796D05"/>
    <w:rsid w:val="007970C0"/>
    <w:rsid w:val="00797687"/>
    <w:rsid w:val="007A0BE3"/>
    <w:rsid w:val="007A1ABD"/>
    <w:rsid w:val="007A25AF"/>
    <w:rsid w:val="007A302A"/>
    <w:rsid w:val="007A30A5"/>
    <w:rsid w:val="007A3335"/>
    <w:rsid w:val="007A3DCF"/>
    <w:rsid w:val="007A462C"/>
    <w:rsid w:val="007A4C40"/>
    <w:rsid w:val="007A53B6"/>
    <w:rsid w:val="007A5FB9"/>
    <w:rsid w:val="007A664A"/>
    <w:rsid w:val="007A70C6"/>
    <w:rsid w:val="007B0CF1"/>
    <w:rsid w:val="007B11B5"/>
    <w:rsid w:val="007B11D0"/>
    <w:rsid w:val="007B1CB5"/>
    <w:rsid w:val="007B27E9"/>
    <w:rsid w:val="007B2987"/>
    <w:rsid w:val="007B40EF"/>
    <w:rsid w:val="007B5FDA"/>
    <w:rsid w:val="007B6132"/>
    <w:rsid w:val="007B6A8F"/>
    <w:rsid w:val="007B6E43"/>
    <w:rsid w:val="007B70D3"/>
    <w:rsid w:val="007B7835"/>
    <w:rsid w:val="007C0C5F"/>
    <w:rsid w:val="007C1116"/>
    <w:rsid w:val="007C3596"/>
    <w:rsid w:val="007C3AA6"/>
    <w:rsid w:val="007C495E"/>
    <w:rsid w:val="007C4B93"/>
    <w:rsid w:val="007C4C25"/>
    <w:rsid w:val="007C4EF2"/>
    <w:rsid w:val="007C55D4"/>
    <w:rsid w:val="007C708E"/>
    <w:rsid w:val="007C76DD"/>
    <w:rsid w:val="007D093F"/>
    <w:rsid w:val="007D0BE8"/>
    <w:rsid w:val="007D0D6D"/>
    <w:rsid w:val="007D2DCB"/>
    <w:rsid w:val="007D36CA"/>
    <w:rsid w:val="007D4C02"/>
    <w:rsid w:val="007D510B"/>
    <w:rsid w:val="007D5920"/>
    <w:rsid w:val="007D6496"/>
    <w:rsid w:val="007D6731"/>
    <w:rsid w:val="007D6837"/>
    <w:rsid w:val="007D7001"/>
    <w:rsid w:val="007D782F"/>
    <w:rsid w:val="007D79B4"/>
    <w:rsid w:val="007D7E87"/>
    <w:rsid w:val="007E0FEC"/>
    <w:rsid w:val="007E1666"/>
    <w:rsid w:val="007E1DC4"/>
    <w:rsid w:val="007E1ECC"/>
    <w:rsid w:val="007E29A8"/>
    <w:rsid w:val="007E2A09"/>
    <w:rsid w:val="007E2A1D"/>
    <w:rsid w:val="007E3676"/>
    <w:rsid w:val="007E40DD"/>
    <w:rsid w:val="007E4D5F"/>
    <w:rsid w:val="007E5A59"/>
    <w:rsid w:val="007E6702"/>
    <w:rsid w:val="007E7C73"/>
    <w:rsid w:val="007F0225"/>
    <w:rsid w:val="007F0AC8"/>
    <w:rsid w:val="007F10CE"/>
    <w:rsid w:val="007F167C"/>
    <w:rsid w:val="007F2054"/>
    <w:rsid w:val="007F2066"/>
    <w:rsid w:val="007F2B93"/>
    <w:rsid w:val="007F4005"/>
    <w:rsid w:val="007F44BC"/>
    <w:rsid w:val="007F64E9"/>
    <w:rsid w:val="007F7EFE"/>
    <w:rsid w:val="007F7F51"/>
    <w:rsid w:val="008004E5"/>
    <w:rsid w:val="00800B11"/>
    <w:rsid w:val="0080100B"/>
    <w:rsid w:val="00801BBC"/>
    <w:rsid w:val="00801E06"/>
    <w:rsid w:val="00802558"/>
    <w:rsid w:val="00802684"/>
    <w:rsid w:val="008032B2"/>
    <w:rsid w:val="00804380"/>
    <w:rsid w:val="00804490"/>
    <w:rsid w:val="00805F5F"/>
    <w:rsid w:val="00806016"/>
    <w:rsid w:val="00806655"/>
    <w:rsid w:val="00806B2A"/>
    <w:rsid w:val="008071EA"/>
    <w:rsid w:val="00810DA4"/>
    <w:rsid w:val="00813597"/>
    <w:rsid w:val="0081432B"/>
    <w:rsid w:val="008146A2"/>
    <w:rsid w:val="00814A29"/>
    <w:rsid w:val="00816975"/>
    <w:rsid w:val="008252B0"/>
    <w:rsid w:val="008259B8"/>
    <w:rsid w:val="00825ADA"/>
    <w:rsid w:val="00825DEA"/>
    <w:rsid w:val="0082667C"/>
    <w:rsid w:val="008269BB"/>
    <w:rsid w:val="00826C36"/>
    <w:rsid w:val="00827362"/>
    <w:rsid w:val="008279A8"/>
    <w:rsid w:val="00827E59"/>
    <w:rsid w:val="00830FC0"/>
    <w:rsid w:val="00831376"/>
    <w:rsid w:val="0083160C"/>
    <w:rsid w:val="0083338A"/>
    <w:rsid w:val="00833923"/>
    <w:rsid w:val="00833DAD"/>
    <w:rsid w:val="0083465D"/>
    <w:rsid w:val="00834CDA"/>
    <w:rsid w:val="00835131"/>
    <w:rsid w:val="008362EF"/>
    <w:rsid w:val="008367C0"/>
    <w:rsid w:val="00840DE1"/>
    <w:rsid w:val="00840F68"/>
    <w:rsid w:val="00843CA3"/>
    <w:rsid w:val="00843EBB"/>
    <w:rsid w:val="008443EB"/>
    <w:rsid w:val="00844E1C"/>
    <w:rsid w:val="00844FB1"/>
    <w:rsid w:val="00847A9C"/>
    <w:rsid w:val="00850D95"/>
    <w:rsid w:val="00852DCB"/>
    <w:rsid w:val="00854477"/>
    <w:rsid w:val="00855674"/>
    <w:rsid w:val="00855ED4"/>
    <w:rsid w:val="00856A85"/>
    <w:rsid w:val="00861F9F"/>
    <w:rsid w:val="0086291A"/>
    <w:rsid w:val="00862D4F"/>
    <w:rsid w:val="00863036"/>
    <w:rsid w:val="008642AC"/>
    <w:rsid w:val="00865150"/>
    <w:rsid w:val="008657B6"/>
    <w:rsid w:val="008657C0"/>
    <w:rsid w:val="00870406"/>
    <w:rsid w:val="0087108B"/>
    <w:rsid w:val="00871456"/>
    <w:rsid w:val="00871856"/>
    <w:rsid w:val="00871CED"/>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5AF7"/>
    <w:rsid w:val="00885EAF"/>
    <w:rsid w:val="008862BD"/>
    <w:rsid w:val="008863E8"/>
    <w:rsid w:val="00887A74"/>
    <w:rsid w:val="008917E7"/>
    <w:rsid w:val="00891802"/>
    <w:rsid w:val="00892AA0"/>
    <w:rsid w:val="0089626D"/>
    <w:rsid w:val="008962E9"/>
    <w:rsid w:val="0089653C"/>
    <w:rsid w:val="00896CA9"/>
    <w:rsid w:val="00896DD8"/>
    <w:rsid w:val="008A0DE6"/>
    <w:rsid w:val="008A16A9"/>
    <w:rsid w:val="008A1FF5"/>
    <w:rsid w:val="008A233D"/>
    <w:rsid w:val="008A237E"/>
    <w:rsid w:val="008A2CFF"/>
    <w:rsid w:val="008A3BD1"/>
    <w:rsid w:val="008A447D"/>
    <w:rsid w:val="008A4AF5"/>
    <w:rsid w:val="008A4EFA"/>
    <w:rsid w:val="008A62A5"/>
    <w:rsid w:val="008A7E2E"/>
    <w:rsid w:val="008B04D8"/>
    <w:rsid w:val="008B266F"/>
    <w:rsid w:val="008B3124"/>
    <w:rsid w:val="008B5749"/>
    <w:rsid w:val="008B6744"/>
    <w:rsid w:val="008B72A5"/>
    <w:rsid w:val="008B7762"/>
    <w:rsid w:val="008B7E82"/>
    <w:rsid w:val="008C0421"/>
    <w:rsid w:val="008C1918"/>
    <w:rsid w:val="008C1A51"/>
    <w:rsid w:val="008C283D"/>
    <w:rsid w:val="008C2A4A"/>
    <w:rsid w:val="008C2F29"/>
    <w:rsid w:val="008C3202"/>
    <w:rsid w:val="008C4AD0"/>
    <w:rsid w:val="008C6B30"/>
    <w:rsid w:val="008D3033"/>
    <w:rsid w:val="008D4091"/>
    <w:rsid w:val="008D493B"/>
    <w:rsid w:val="008D4A7C"/>
    <w:rsid w:val="008D51DA"/>
    <w:rsid w:val="008D53A9"/>
    <w:rsid w:val="008D5615"/>
    <w:rsid w:val="008D59CC"/>
    <w:rsid w:val="008D5C71"/>
    <w:rsid w:val="008D5F0D"/>
    <w:rsid w:val="008D683A"/>
    <w:rsid w:val="008E0359"/>
    <w:rsid w:val="008E05D2"/>
    <w:rsid w:val="008E0805"/>
    <w:rsid w:val="008E08ED"/>
    <w:rsid w:val="008E0FFB"/>
    <w:rsid w:val="008E25B1"/>
    <w:rsid w:val="008E2B4D"/>
    <w:rsid w:val="008E3094"/>
    <w:rsid w:val="008E3295"/>
    <w:rsid w:val="008E4A5F"/>
    <w:rsid w:val="008E536D"/>
    <w:rsid w:val="008E55EA"/>
    <w:rsid w:val="008E5926"/>
    <w:rsid w:val="008E5AAE"/>
    <w:rsid w:val="008E637E"/>
    <w:rsid w:val="008E6C15"/>
    <w:rsid w:val="008E75C5"/>
    <w:rsid w:val="008E7887"/>
    <w:rsid w:val="008E7922"/>
    <w:rsid w:val="008E7E6E"/>
    <w:rsid w:val="008F007E"/>
    <w:rsid w:val="008F0671"/>
    <w:rsid w:val="008F08D7"/>
    <w:rsid w:val="008F1194"/>
    <w:rsid w:val="008F1884"/>
    <w:rsid w:val="008F206D"/>
    <w:rsid w:val="008F237A"/>
    <w:rsid w:val="008F2796"/>
    <w:rsid w:val="008F34D3"/>
    <w:rsid w:val="008F3BD8"/>
    <w:rsid w:val="008F603A"/>
    <w:rsid w:val="008F6A2F"/>
    <w:rsid w:val="008F6B5E"/>
    <w:rsid w:val="008F6FA1"/>
    <w:rsid w:val="008F755E"/>
    <w:rsid w:val="008F79D0"/>
    <w:rsid w:val="009008B1"/>
    <w:rsid w:val="00901F58"/>
    <w:rsid w:val="00902015"/>
    <w:rsid w:val="00903531"/>
    <w:rsid w:val="00904A65"/>
    <w:rsid w:val="00904DC3"/>
    <w:rsid w:val="00904E2E"/>
    <w:rsid w:val="00905728"/>
    <w:rsid w:val="00905793"/>
    <w:rsid w:val="00907263"/>
    <w:rsid w:val="0090729C"/>
    <w:rsid w:val="00907E8B"/>
    <w:rsid w:val="009123F6"/>
    <w:rsid w:val="00913E2A"/>
    <w:rsid w:val="0091468D"/>
    <w:rsid w:val="0091475E"/>
    <w:rsid w:val="009163B6"/>
    <w:rsid w:val="00916B61"/>
    <w:rsid w:val="00916DC0"/>
    <w:rsid w:val="00917091"/>
    <w:rsid w:val="0091716A"/>
    <w:rsid w:val="00917D6C"/>
    <w:rsid w:val="00917ED2"/>
    <w:rsid w:val="00917F42"/>
    <w:rsid w:val="009202F4"/>
    <w:rsid w:val="009205E3"/>
    <w:rsid w:val="009217A9"/>
    <w:rsid w:val="00922F29"/>
    <w:rsid w:val="009231E6"/>
    <w:rsid w:val="00924303"/>
    <w:rsid w:val="00924926"/>
    <w:rsid w:val="00924ED9"/>
    <w:rsid w:val="0092594C"/>
    <w:rsid w:val="009277E9"/>
    <w:rsid w:val="00927BBC"/>
    <w:rsid w:val="0093042C"/>
    <w:rsid w:val="00931316"/>
    <w:rsid w:val="00932818"/>
    <w:rsid w:val="00933086"/>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75B"/>
    <w:rsid w:val="0095482D"/>
    <w:rsid w:val="00955459"/>
    <w:rsid w:val="009563AA"/>
    <w:rsid w:val="00957B91"/>
    <w:rsid w:val="0096004E"/>
    <w:rsid w:val="009623A4"/>
    <w:rsid w:val="00963229"/>
    <w:rsid w:val="009637F5"/>
    <w:rsid w:val="00963D51"/>
    <w:rsid w:val="0096515A"/>
    <w:rsid w:val="0096573E"/>
    <w:rsid w:val="00965C79"/>
    <w:rsid w:val="00966491"/>
    <w:rsid w:val="00966601"/>
    <w:rsid w:val="00967094"/>
    <w:rsid w:val="00970079"/>
    <w:rsid w:val="009700A9"/>
    <w:rsid w:val="009703C9"/>
    <w:rsid w:val="00970A79"/>
    <w:rsid w:val="00971E20"/>
    <w:rsid w:val="009721C8"/>
    <w:rsid w:val="00973C9C"/>
    <w:rsid w:val="00974726"/>
    <w:rsid w:val="009752BD"/>
    <w:rsid w:val="009758CF"/>
    <w:rsid w:val="00975C56"/>
    <w:rsid w:val="00976D44"/>
    <w:rsid w:val="009835C4"/>
    <w:rsid w:val="00983D02"/>
    <w:rsid w:val="0098672A"/>
    <w:rsid w:val="009868F8"/>
    <w:rsid w:val="00986DB7"/>
    <w:rsid w:val="00987B88"/>
    <w:rsid w:val="00987E24"/>
    <w:rsid w:val="00990141"/>
    <w:rsid w:val="00990D6F"/>
    <w:rsid w:val="0099157D"/>
    <w:rsid w:val="00993A67"/>
    <w:rsid w:val="009946F1"/>
    <w:rsid w:val="00994D7F"/>
    <w:rsid w:val="009962A0"/>
    <w:rsid w:val="0099644E"/>
    <w:rsid w:val="00996F8C"/>
    <w:rsid w:val="00997CB3"/>
    <w:rsid w:val="009A0627"/>
    <w:rsid w:val="009A0778"/>
    <w:rsid w:val="009A0F14"/>
    <w:rsid w:val="009A32CB"/>
    <w:rsid w:val="009A44CB"/>
    <w:rsid w:val="009A454D"/>
    <w:rsid w:val="009A472B"/>
    <w:rsid w:val="009A4F50"/>
    <w:rsid w:val="009A542D"/>
    <w:rsid w:val="009A5983"/>
    <w:rsid w:val="009A5C14"/>
    <w:rsid w:val="009A6DC0"/>
    <w:rsid w:val="009A7763"/>
    <w:rsid w:val="009A7A9E"/>
    <w:rsid w:val="009A7B95"/>
    <w:rsid w:val="009B05E8"/>
    <w:rsid w:val="009B05F1"/>
    <w:rsid w:val="009B126C"/>
    <w:rsid w:val="009B1592"/>
    <w:rsid w:val="009B1936"/>
    <w:rsid w:val="009B19B4"/>
    <w:rsid w:val="009B23A7"/>
    <w:rsid w:val="009B2CF2"/>
    <w:rsid w:val="009B45E7"/>
    <w:rsid w:val="009B493A"/>
    <w:rsid w:val="009B4DE3"/>
    <w:rsid w:val="009B62CB"/>
    <w:rsid w:val="009B6612"/>
    <w:rsid w:val="009B6A55"/>
    <w:rsid w:val="009B778D"/>
    <w:rsid w:val="009C0652"/>
    <w:rsid w:val="009C0F3B"/>
    <w:rsid w:val="009C158C"/>
    <w:rsid w:val="009C196E"/>
    <w:rsid w:val="009C2D0F"/>
    <w:rsid w:val="009C364A"/>
    <w:rsid w:val="009C3B52"/>
    <w:rsid w:val="009C4A6F"/>
    <w:rsid w:val="009C55EA"/>
    <w:rsid w:val="009C55F9"/>
    <w:rsid w:val="009C6025"/>
    <w:rsid w:val="009C69DB"/>
    <w:rsid w:val="009C6F99"/>
    <w:rsid w:val="009D15B3"/>
    <w:rsid w:val="009D161B"/>
    <w:rsid w:val="009D18A0"/>
    <w:rsid w:val="009D1EF0"/>
    <w:rsid w:val="009D4328"/>
    <w:rsid w:val="009D478F"/>
    <w:rsid w:val="009D479C"/>
    <w:rsid w:val="009D47CA"/>
    <w:rsid w:val="009D4C48"/>
    <w:rsid w:val="009D5125"/>
    <w:rsid w:val="009D545D"/>
    <w:rsid w:val="009D6583"/>
    <w:rsid w:val="009D65C9"/>
    <w:rsid w:val="009D6CA6"/>
    <w:rsid w:val="009D705F"/>
    <w:rsid w:val="009D7772"/>
    <w:rsid w:val="009D7E79"/>
    <w:rsid w:val="009E0EA4"/>
    <w:rsid w:val="009E1143"/>
    <w:rsid w:val="009E165F"/>
    <w:rsid w:val="009E26F3"/>
    <w:rsid w:val="009E2925"/>
    <w:rsid w:val="009E409E"/>
    <w:rsid w:val="009E63C4"/>
    <w:rsid w:val="009E7131"/>
    <w:rsid w:val="009F0065"/>
    <w:rsid w:val="009F0651"/>
    <w:rsid w:val="009F0908"/>
    <w:rsid w:val="009F1B15"/>
    <w:rsid w:val="009F1BCB"/>
    <w:rsid w:val="009F2488"/>
    <w:rsid w:val="009F3650"/>
    <w:rsid w:val="009F428F"/>
    <w:rsid w:val="009F5FB6"/>
    <w:rsid w:val="009F6362"/>
    <w:rsid w:val="009F6E81"/>
    <w:rsid w:val="009F7321"/>
    <w:rsid w:val="009F7500"/>
    <w:rsid w:val="009F7667"/>
    <w:rsid w:val="009F7E0C"/>
    <w:rsid w:val="00A00194"/>
    <w:rsid w:val="00A001C6"/>
    <w:rsid w:val="00A00244"/>
    <w:rsid w:val="00A02BF2"/>
    <w:rsid w:val="00A031F9"/>
    <w:rsid w:val="00A042BB"/>
    <w:rsid w:val="00A04A63"/>
    <w:rsid w:val="00A05A0B"/>
    <w:rsid w:val="00A05E0C"/>
    <w:rsid w:val="00A10299"/>
    <w:rsid w:val="00A116C9"/>
    <w:rsid w:val="00A12B43"/>
    <w:rsid w:val="00A12FE6"/>
    <w:rsid w:val="00A134BC"/>
    <w:rsid w:val="00A1446C"/>
    <w:rsid w:val="00A14857"/>
    <w:rsid w:val="00A14944"/>
    <w:rsid w:val="00A17F32"/>
    <w:rsid w:val="00A2017E"/>
    <w:rsid w:val="00A2337E"/>
    <w:rsid w:val="00A23EB7"/>
    <w:rsid w:val="00A24A28"/>
    <w:rsid w:val="00A24FA6"/>
    <w:rsid w:val="00A2547A"/>
    <w:rsid w:val="00A261BA"/>
    <w:rsid w:val="00A32AE5"/>
    <w:rsid w:val="00A3367C"/>
    <w:rsid w:val="00A343D4"/>
    <w:rsid w:val="00A370F2"/>
    <w:rsid w:val="00A403A8"/>
    <w:rsid w:val="00A404B2"/>
    <w:rsid w:val="00A406CF"/>
    <w:rsid w:val="00A406D2"/>
    <w:rsid w:val="00A40D2D"/>
    <w:rsid w:val="00A41901"/>
    <w:rsid w:val="00A41B44"/>
    <w:rsid w:val="00A41CE3"/>
    <w:rsid w:val="00A428F3"/>
    <w:rsid w:val="00A431F8"/>
    <w:rsid w:val="00A433CC"/>
    <w:rsid w:val="00A44630"/>
    <w:rsid w:val="00A446D4"/>
    <w:rsid w:val="00A4582E"/>
    <w:rsid w:val="00A466C5"/>
    <w:rsid w:val="00A472C5"/>
    <w:rsid w:val="00A5050B"/>
    <w:rsid w:val="00A50A0F"/>
    <w:rsid w:val="00A50CD1"/>
    <w:rsid w:val="00A513F1"/>
    <w:rsid w:val="00A51902"/>
    <w:rsid w:val="00A528CC"/>
    <w:rsid w:val="00A52EF0"/>
    <w:rsid w:val="00A5472F"/>
    <w:rsid w:val="00A54C4F"/>
    <w:rsid w:val="00A560DE"/>
    <w:rsid w:val="00A565E9"/>
    <w:rsid w:val="00A56F02"/>
    <w:rsid w:val="00A570F1"/>
    <w:rsid w:val="00A5721B"/>
    <w:rsid w:val="00A57EF6"/>
    <w:rsid w:val="00A57FD5"/>
    <w:rsid w:val="00A60463"/>
    <w:rsid w:val="00A60D31"/>
    <w:rsid w:val="00A61B87"/>
    <w:rsid w:val="00A62028"/>
    <w:rsid w:val="00A62A2F"/>
    <w:rsid w:val="00A62FE0"/>
    <w:rsid w:val="00A6320B"/>
    <w:rsid w:val="00A6397B"/>
    <w:rsid w:val="00A6444C"/>
    <w:rsid w:val="00A64491"/>
    <w:rsid w:val="00A64CBD"/>
    <w:rsid w:val="00A65141"/>
    <w:rsid w:val="00A6534F"/>
    <w:rsid w:val="00A66DA4"/>
    <w:rsid w:val="00A70638"/>
    <w:rsid w:val="00A71053"/>
    <w:rsid w:val="00A7176E"/>
    <w:rsid w:val="00A71B13"/>
    <w:rsid w:val="00A74126"/>
    <w:rsid w:val="00A742A4"/>
    <w:rsid w:val="00A7441C"/>
    <w:rsid w:val="00A745D2"/>
    <w:rsid w:val="00A74951"/>
    <w:rsid w:val="00A75036"/>
    <w:rsid w:val="00A7606A"/>
    <w:rsid w:val="00A7612D"/>
    <w:rsid w:val="00A76C4C"/>
    <w:rsid w:val="00A7702A"/>
    <w:rsid w:val="00A80332"/>
    <w:rsid w:val="00A80D18"/>
    <w:rsid w:val="00A82048"/>
    <w:rsid w:val="00A83402"/>
    <w:rsid w:val="00A84413"/>
    <w:rsid w:val="00A85069"/>
    <w:rsid w:val="00A851D3"/>
    <w:rsid w:val="00A85C99"/>
    <w:rsid w:val="00A85E54"/>
    <w:rsid w:val="00A86059"/>
    <w:rsid w:val="00A8667F"/>
    <w:rsid w:val="00A8682A"/>
    <w:rsid w:val="00A877EA"/>
    <w:rsid w:val="00A90434"/>
    <w:rsid w:val="00A90848"/>
    <w:rsid w:val="00A90D5D"/>
    <w:rsid w:val="00A919A8"/>
    <w:rsid w:val="00A943CD"/>
    <w:rsid w:val="00A94817"/>
    <w:rsid w:val="00A95E04"/>
    <w:rsid w:val="00A9702D"/>
    <w:rsid w:val="00AA0847"/>
    <w:rsid w:val="00AA09CE"/>
    <w:rsid w:val="00AA0DAC"/>
    <w:rsid w:val="00AA109A"/>
    <w:rsid w:val="00AA184D"/>
    <w:rsid w:val="00AA21D4"/>
    <w:rsid w:val="00AA2273"/>
    <w:rsid w:val="00AA3ADF"/>
    <w:rsid w:val="00AA4064"/>
    <w:rsid w:val="00AA4180"/>
    <w:rsid w:val="00AA41D9"/>
    <w:rsid w:val="00AA4411"/>
    <w:rsid w:val="00AA4945"/>
    <w:rsid w:val="00AA4CB2"/>
    <w:rsid w:val="00AA4D15"/>
    <w:rsid w:val="00AA4F18"/>
    <w:rsid w:val="00AA7124"/>
    <w:rsid w:val="00AA7490"/>
    <w:rsid w:val="00AA7EB9"/>
    <w:rsid w:val="00AB0321"/>
    <w:rsid w:val="00AB1B43"/>
    <w:rsid w:val="00AB21EA"/>
    <w:rsid w:val="00AB29DA"/>
    <w:rsid w:val="00AB2D5C"/>
    <w:rsid w:val="00AB3BFD"/>
    <w:rsid w:val="00AB516D"/>
    <w:rsid w:val="00AB51C0"/>
    <w:rsid w:val="00AB538D"/>
    <w:rsid w:val="00AB70F7"/>
    <w:rsid w:val="00AC078F"/>
    <w:rsid w:val="00AC12F5"/>
    <w:rsid w:val="00AC2A9D"/>
    <w:rsid w:val="00AC56CE"/>
    <w:rsid w:val="00AC59CF"/>
    <w:rsid w:val="00AC604F"/>
    <w:rsid w:val="00AC71B2"/>
    <w:rsid w:val="00AC7414"/>
    <w:rsid w:val="00AC79C0"/>
    <w:rsid w:val="00AD1227"/>
    <w:rsid w:val="00AD21DC"/>
    <w:rsid w:val="00AD2321"/>
    <w:rsid w:val="00AD240B"/>
    <w:rsid w:val="00AD2F15"/>
    <w:rsid w:val="00AD34FD"/>
    <w:rsid w:val="00AD4224"/>
    <w:rsid w:val="00AD4E75"/>
    <w:rsid w:val="00AD6DC7"/>
    <w:rsid w:val="00AD74C8"/>
    <w:rsid w:val="00AD7FF6"/>
    <w:rsid w:val="00AE047F"/>
    <w:rsid w:val="00AE2F67"/>
    <w:rsid w:val="00AE3181"/>
    <w:rsid w:val="00AE357C"/>
    <w:rsid w:val="00AE4CB1"/>
    <w:rsid w:val="00AE6795"/>
    <w:rsid w:val="00AE6D50"/>
    <w:rsid w:val="00AE6ED6"/>
    <w:rsid w:val="00AE7EDF"/>
    <w:rsid w:val="00AF07F9"/>
    <w:rsid w:val="00AF165B"/>
    <w:rsid w:val="00AF16C9"/>
    <w:rsid w:val="00AF2148"/>
    <w:rsid w:val="00AF3257"/>
    <w:rsid w:val="00AF338A"/>
    <w:rsid w:val="00AF4186"/>
    <w:rsid w:val="00AF449A"/>
    <w:rsid w:val="00AF4AF8"/>
    <w:rsid w:val="00AF59DA"/>
    <w:rsid w:val="00AF64B3"/>
    <w:rsid w:val="00AF72B9"/>
    <w:rsid w:val="00B00021"/>
    <w:rsid w:val="00B01969"/>
    <w:rsid w:val="00B03AE6"/>
    <w:rsid w:val="00B04BED"/>
    <w:rsid w:val="00B05204"/>
    <w:rsid w:val="00B06A7F"/>
    <w:rsid w:val="00B10470"/>
    <w:rsid w:val="00B10AEC"/>
    <w:rsid w:val="00B12515"/>
    <w:rsid w:val="00B1367C"/>
    <w:rsid w:val="00B15453"/>
    <w:rsid w:val="00B15D86"/>
    <w:rsid w:val="00B16963"/>
    <w:rsid w:val="00B1774E"/>
    <w:rsid w:val="00B17E9C"/>
    <w:rsid w:val="00B2044E"/>
    <w:rsid w:val="00B2285C"/>
    <w:rsid w:val="00B22942"/>
    <w:rsid w:val="00B23368"/>
    <w:rsid w:val="00B234B3"/>
    <w:rsid w:val="00B23BB3"/>
    <w:rsid w:val="00B23C9D"/>
    <w:rsid w:val="00B24FA2"/>
    <w:rsid w:val="00B250AC"/>
    <w:rsid w:val="00B26121"/>
    <w:rsid w:val="00B266B6"/>
    <w:rsid w:val="00B267B6"/>
    <w:rsid w:val="00B2696E"/>
    <w:rsid w:val="00B27D31"/>
    <w:rsid w:val="00B30B3D"/>
    <w:rsid w:val="00B30BB7"/>
    <w:rsid w:val="00B3130A"/>
    <w:rsid w:val="00B320FF"/>
    <w:rsid w:val="00B32B9E"/>
    <w:rsid w:val="00B32FB1"/>
    <w:rsid w:val="00B35AFE"/>
    <w:rsid w:val="00B3766B"/>
    <w:rsid w:val="00B37778"/>
    <w:rsid w:val="00B37A12"/>
    <w:rsid w:val="00B40329"/>
    <w:rsid w:val="00B40B8D"/>
    <w:rsid w:val="00B4103B"/>
    <w:rsid w:val="00B410F6"/>
    <w:rsid w:val="00B42F46"/>
    <w:rsid w:val="00B4322A"/>
    <w:rsid w:val="00B432A2"/>
    <w:rsid w:val="00B43D87"/>
    <w:rsid w:val="00B45440"/>
    <w:rsid w:val="00B4580B"/>
    <w:rsid w:val="00B4724A"/>
    <w:rsid w:val="00B50405"/>
    <w:rsid w:val="00B51977"/>
    <w:rsid w:val="00B53BE1"/>
    <w:rsid w:val="00B54266"/>
    <w:rsid w:val="00B5466A"/>
    <w:rsid w:val="00B546E5"/>
    <w:rsid w:val="00B54E07"/>
    <w:rsid w:val="00B565C8"/>
    <w:rsid w:val="00B56CE1"/>
    <w:rsid w:val="00B575ED"/>
    <w:rsid w:val="00B5785B"/>
    <w:rsid w:val="00B57F78"/>
    <w:rsid w:val="00B61952"/>
    <w:rsid w:val="00B625E0"/>
    <w:rsid w:val="00B62F9E"/>
    <w:rsid w:val="00B6326B"/>
    <w:rsid w:val="00B64124"/>
    <w:rsid w:val="00B64B57"/>
    <w:rsid w:val="00B65A04"/>
    <w:rsid w:val="00B66F7A"/>
    <w:rsid w:val="00B67ED0"/>
    <w:rsid w:val="00B7010C"/>
    <w:rsid w:val="00B704AF"/>
    <w:rsid w:val="00B708EA"/>
    <w:rsid w:val="00B70ABC"/>
    <w:rsid w:val="00B70E53"/>
    <w:rsid w:val="00B71451"/>
    <w:rsid w:val="00B74278"/>
    <w:rsid w:val="00B74705"/>
    <w:rsid w:val="00B74730"/>
    <w:rsid w:val="00B75149"/>
    <w:rsid w:val="00B75F1C"/>
    <w:rsid w:val="00B803D6"/>
    <w:rsid w:val="00B81460"/>
    <w:rsid w:val="00B819B6"/>
    <w:rsid w:val="00B83257"/>
    <w:rsid w:val="00B83A93"/>
    <w:rsid w:val="00B86B21"/>
    <w:rsid w:val="00B87871"/>
    <w:rsid w:val="00B903E3"/>
    <w:rsid w:val="00B911C2"/>
    <w:rsid w:val="00B9179C"/>
    <w:rsid w:val="00B91DF8"/>
    <w:rsid w:val="00B930D6"/>
    <w:rsid w:val="00B93396"/>
    <w:rsid w:val="00B93CED"/>
    <w:rsid w:val="00B95300"/>
    <w:rsid w:val="00B9543E"/>
    <w:rsid w:val="00B9594C"/>
    <w:rsid w:val="00B96F03"/>
    <w:rsid w:val="00B9734C"/>
    <w:rsid w:val="00BA0B05"/>
    <w:rsid w:val="00BA1C6F"/>
    <w:rsid w:val="00BA314C"/>
    <w:rsid w:val="00BA6C1F"/>
    <w:rsid w:val="00BA6D21"/>
    <w:rsid w:val="00BB115E"/>
    <w:rsid w:val="00BB1E94"/>
    <w:rsid w:val="00BB57F4"/>
    <w:rsid w:val="00BB64DA"/>
    <w:rsid w:val="00BB7712"/>
    <w:rsid w:val="00BC177D"/>
    <w:rsid w:val="00BC1A41"/>
    <w:rsid w:val="00BC2114"/>
    <w:rsid w:val="00BC2908"/>
    <w:rsid w:val="00BC3FC3"/>
    <w:rsid w:val="00BC49C9"/>
    <w:rsid w:val="00BC5224"/>
    <w:rsid w:val="00BC6BAB"/>
    <w:rsid w:val="00BC6E0A"/>
    <w:rsid w:val="00BC6FDF"/>
    <w:rsid w:val="00BC7725"/>
    <w:rsid w:val="00BC7AE4"/>
    <w:rsid w:val="00BC7D79"/>
    <w:rsid w:val="00BC7D81"/>
    <w:rsid w:val="00BD02DD"/>
    <w:rsid w:val="00BD09E2"/>
    <w:rsid w:val="00BD2234"/>
    <w:rsid w:val="00BD38DF"/>
    <w:rsid w:val="00BD4A4B"/>
    <w:rsid w:val="00BD4C27"/>
    <w:rsid w:val="00BD626E"/>
    <w:rsid w:val="00BD6E92"/>
    <w:rsid w:val="00BD759F"/>
    <w:rsid w:val="00BD7A22"/>
    <w:rsid w:val="00BE05BB"/>
    <w:rsid w:val="00BE0F25"/>
    <w:rsid w:val="00BE207E"/>
    <w:rsid w:val="00BE274E"/>
    <w:rsid w:val="00BE2B1B"/>
    <w:rsid w:val="00BE336C"/>
    <w:rsid w:val="00BE3FEB"/>
    <w:rsid w:val="00BE4B81"/>
    <w:rsid w:val="00BE4C01"/>
    <w:rsid w:val="00BE4D2C"/>
    <w:rsid w:val="00BE74DF"/>
    <w:rsid w:val="00BE7988"/>
    <w:rsid w:val="00BE7F6B"/>
    <w:rsid w:val="00BF0382"/>
    <w:rsid w:val="00BF082E"/>
    <w:rsid w:val="00BF0FC4"/>
    <w:rsid w:val="00BF1E0A"/>
    <w:rsid w:val="00BF2568"/>
    <w:rsid w:val="00BF27E9"/>
    <w:rsid w:val="00BF2D62"/>
    <w:rsid w:val="00BF4212"/>
    <w:rsid w:val="00BF5F68"/>
    <w:rsid w:val="00BF694E"/>
    <w:rsid w:val="00BF6F76"/>
    <w:rsid w:val="00C02978"/>
    <w:rsid w:val="00C034A9"/>
    <w:rsid w:val="00C03859"/>
    <w:rsid w:val="00C03913"/>
    <w:rsid w:val="00C03DBF"/>
    <w:rsid w:val="00C04FA0"/>
    <w:rsid w:val="00C05E01"/>
    <w:rsid w:val="00C05E42"/>
    <w:rsid w:val="00C06075"/>
    <w:rsid w:val="00C063F1"/>
    <w:rsid w:val="00C068D6"/>
    <w:rsid w:val="00C078BD"/>
    <w:rsid w:val="00C13805"/>
    <w:rsid w:val="00C13FCB"/>
    <w:rsid w:val="00C15CA6"/>
    <w:rsid w:val="00C16807"/>
    <w:rsid w:val="00C2025F"/>
    <w:rsid w:val="00C214FA"/>
    <w:rsid w:val="00C2167D"/>
    <w:rsid w:val="00C21BCC"/>
    <w:rsid w:val="00C224D4"/>
    <w:rsid w:val="00C228FA"/>
    <w:rsid w:val="00C23390"/>
    <w:rsid w:val="00C23C07"/>
    <w:rsid w:val="00C2403A"/>
    <w:rsid w:val="00C24CC2"/>
    <w:rsid w:val="00C250F4"/>
    <w:rsid w:val="00C25E2D"/>
    <w:rsid w:val="00C260F7"/>
    <w:rsid w:val="00C266D3"/>
    <w:rsid w:val="00C266DA"/>
    <w:rsid w:val="00C26FE9"/>
    <w:rsid w:val="00C27941"/>
    <w:rsid w:val="00C27BD3"/>
    <w:rsid w:val="00C27D03"/>
    <w:rsid w:val="00C31095"/>
    <w:rsid w:val="00C31607"/>
    <w:rsid w:val="00C31721"/>
    <w:rsid w:val="00C32321"/>
    <w:rsid w:val="00C32332"/>
    <w:rsid w:val="00C349F0"/>
    <w:rsid w:val="00C34A1E"/>
    <w:rsid w:val="00C34C4A"/>
    <w:rsid w:val="00C3720B"/>
    <w:rsid w:val="00C3793F"/>
    <w:rsid w:val="00C37982"/>
    <w:rsid w:val="00C37D20"/>
    <w:rsid w:val="00C41423"/>
    <w:rsid w:val="00C41D5D"/>
    <w:rsid w:val="00C43335"/>
    <w:rsid w:val="00C4334F"/>
    <w:rsid w:val="00C44253"/>
    <w:rsid w:val="00C4434A"/>
    <w:rsid w:val="00C44974"/>
    <w:rsid w:val="00C44E9E"/>
    <w:rsid w:val="00C45259"/>
    <w:rsid w:val="00C46098"/>
    <w:rsid w:val="00C46439"/>
    <w:rsid w:val="00C46750"/>
    <w:rsid w:val="00C46B32"/>
    <w:rsid w:val="00C4743D"/>
    <w:rsid w:val="00C47A26"/>
    <w:rsid w:val="00C50E1F"/>
    <w:rsid w:val="00C516EC"/>
    <w:rsid w:val="00C517E3"/>
    <w:rsid w:val="00C52DA5"/>
    <w:rsid w:val="00C53DC9"/>
    <w:rsid w:val="00C54100"/>
    <w:rsid w:val="00C563AB"/>
    <w:rsid w:val="00C569A6"/>
    <w:rsid w:val="00C571A9"/>
    <w:rsid w:val="00C57A73"/>
    <w:rsid w:val="00C615A7"/>
    <w:rsid w:val="00C616BF"/>
    <w:rsid w:val="00C62C5D"/>
    <w:rsid w:val="00C62FD6"/>
    <w:rsid w:val="00C64873"/>
    <w:rsid w:val="00C64E82"/>
    <w:rsid w:val="00C65374"/>
    <w:rsid w:val="00C65A0A"/>
    <w:rsid w:val="00C66628"/>
    <w:rsid w:val="00C70578"/>
    <w:rsid w:val="00C72223"/>
    <w:rsid w:val="00C734C0"/>
    <w:rsid w:val="00C73966"/>
    <w:rsid w:val="00C7422F"/>
    <w:rsid w:val="00C751BF"/>
    <w:rsid w:val="00C762C7"/>
    <w:rsid w:val="00C7651A"/>
    <w:rsid w:val="00C77280"/>
    <w:rsid w:val="00C7772C"/>
    <w:rsid w:val="00C812AA"/>
    <w:rsid w:val="00C81AD1"/>
    <w:rsid w:val="00C83111"/>
    <w:rsid w:val="00C84265"/>
    <w:rsid w:val="00C84ED5"/>
    <w:rsid w:val="00C9070B"/>
    <w:rsid w:val="00C93E22"/>
    <w:rsid w:val="00C94791"/>
    <w:rsid w:val="00C955DC"/>
    <w:rsid w:val="00C96465"/>
    <w:rsid w:val="00C96D0A"/>
    <w:rsid w:val="00CA001B"/>
    <w:rsid w:val="00CA011A"/>
    <w:rsid w:val="00CA01AD"/>
    <w:rsid w:val="00CA0417"/>
    <w:rsid w:val="00CA0D73"/>
    <w:rsid w:val="00CA1A52"/>
    <w:rsid w:val="00CA2625"/>
    <w:rsid w:val="00CA269C"/>
    <w:rsid w:val="00CA3024"/>
    <w:rsid w:val="00CA3E46"/>
    <w:rsid w:val="00CA4AE1"/>
    <w:rsid w:val="00CA5475"/>
    <w:rsid w:val="00CA6FE3"/>
    <w:rsid w:val="00CA7880"/>
    <w:rsid w:val="00CB0D43"/>
    <w:rsid w:val="00CB19DA"/>
    <w:rsid w:val="00CB1BF5"/>
    <w:rsid w:val="00CB2170"/>
    <w:rsid w:val="00CB3AF4"/>
    <w:rsid w:val="00CB3C64"/>
    <w:rsid w:val="00CB3F45"/>
    <w:rsid w:val="00CB40A0"/>
    <w:rsid w:val="00CB44F6"/>
    <w:rsid w:val="00CB51FF"/>
    <w:rsid w:val="00CB6B46"/>
    <w:rsid w:val="00CB77CB"/>
    <w:rsid w:val="00CB7C81"/>
    <w:rsid w:val="00CC0334"/>
    <w:rsid w:val="00CC1692"/>
    <w:rsid w:val="00CC1B8B"/>
    <w:rsid w:val="00CC1DF5"/>
    <w:rsid w:val="00CC3A59"/>
    <w:rsid w:val="00CC4253"/>
    <w:rsid w:val="00CC4804"/>
    <w:rsid w:val="00CC5133"/>
    <w:rsid w:val="00CC51CA"/>
    <w:rsid w:val="00CC5361"/>
    <w:rsid w:val="00CC5F27"/>
    <w:rsid w:val="00CC63FE"/>
    <w:rsid w:val="00CC661E"/>
    <w:rsid w:val="00CC6760"/>
    <w:rsid w:val="00CC7437"/>
    <w:rsid w:val="00CD1841"/>
    <w:rsid w:val="00CD20E1"/>
    <w:rsid w:val="00CD2951"/>
    <w:rsid w:val="00CD2ABD"/>
    <w:rsid w:val="00CD3BBB"/>
    <w:rsid w:val="00CD3C54"/>
    <w:rsid w:val="00CD6CCD"/>
    <w:rsid w:val="00CE106C"/>
    <w:rsid w:val="00CE3521"/>
    <w:rsid w:val="00CE3BC2"/>
    <w:rsid w:val="00CE5723"/>
    <w:rsid w:val="00CE6ED8"/>
    <w:rsid w:val="00CE74C3"/>
    <w:rsid w:val="00CF0EFF"/>
    <w:rsid w:val="00CF1168"/>
    <w:rsid w:val="00CF1C88"/>
    <w:rsid w:val="00CF3FC7"/>
    <w:rsid w:val="00CF4077"/>
    <w:rsid w:val="00CF4841"/>
    <w:rsid w:val="00CF4C52"/>
    <w:rsid w:val="00CF5493"/>
    <w:rsid w:val="00CF67D8"/>
    <w:rsid w:val="00CF694E"/>
    <w:rsid w:val="00CF6BF4"/>
    <w:rsid w:val="00CF72BC"/>
    <w:rsid w:val="00CF7DE9"/>
    <w:rsid w:val="00D00AEB"/>
    <w:rsid w:val="00D01398"/>
    <w:rsid w:val="00D0189D"/>
    <w:rsid w:val="00D04528"/>
    <w:rsid w:val="00D050BA"/>
    <w:rsid w:val="00D052C5"/>
    <w:rsid w:val="00D05E32"/>
    <w:rsid w:val="00D06FC6"/>
    <w:rsid w:val="00D101D7"/>
    <w:rsid w:val="00D106A3"/>
    <w:rsid w:val="00D11CE7"/>
    <w:rsid w:val="00D12281"/>
    <w:rsid w:val="00D14D03"/>
    <w:rsid w:val="00D15896"/>
    <w:rsid w:val="00D15CD5"/>
    <w:rsid w:val="00D15E15"/>
    <w:rsid w:val="00D160C0"/>
    <w:rsid w:val="00D174F0"/>
    <w:rsid w:val="00D175B7"/>
    <w:rsid w:val="00D17707"/>
    <w:rsid w:val="00D20C87"/>
    <w:rsid w:val="00D21DD1"/>
    <w:rsid w:val="00D22569"/>
    <w:rsid w:val="00D26CDC"/>
    <w:rsid w:val="00D2772F"/>
    <w:rsid w:val="00D3079F"/>
    <w:rsid w:val="00D30C5E"/>
    <w:rsid w:val="00D3100A"/>
    <w:rsid w:val="00D312EB"/>
    <w:rsid w:val="00D31D97"/>
    <w:rsid w:val="00D3348F"/>
    <w:rsid w:val="00D33C30"/>
    <w:rsid w:val="00D3413F"/>
    <w:rsid w:val="00D3483B"/>
    <w:rsid w:val="00D3497A"/>
    <w:rsid w:val="00D373B0"/>
    <w:rsid w:val="00D40C75"/>
    <w:rsid w:val="00D40F22"/>
    <w:rsid w:val="00D4142C"/>
    <w:rsid w:val="00D42227"/>
    <w:rsid w:val="00D4229B"/>
    <w:rsid w:val="00D42F0B"/>
    <w:rsid w:val="00D42F78"/>
    <w:rsid w:val="00D43A3F"/>
    <w:rsid w:val="00D44B7B"/>
    <w:rsid w:val="00D45C32"/>
    <w:rsid w:val="00D462AD"/>
    <w:rsid w:val="00D46E69"/>
    <w:rsid w:val="00D46FF7"/>
    <w:rsid w:val="00D47AD5"/>
    <w:rsid w:val="00D518C3"/>
    <w:rsid w:val="00D51C09"/>
    <w:rsid w:val="00D532C6"/>
    <w:rsid w:val="00D5426B"/>
    <w:rsid w:val="00D55932"/>
    <w:rsid w:val="00D5599A"/>
    <w:rsid w:val="00D55B21"/>
    <w:rsid w:val="00D569AD"/>
    <w:rsid w:val="00D605E5"/>
    <w:rsid w:val="00D6090E"/>
    <w:rsid w:val="00D60FEA"/>
    <w:rsid w:val="00D62A8B"/>
    <w:rsid w:val="00D63043"/>
    <w:rsid w:val="00D63B87"/>
    <w:rsid w:val="00D67005"/>
    <w:rsid w:val="00D67843"/>
    <w:rsid w:val="00D7037D"/>
    <w:rsid w:val="00D71595"/>
    <w:rsid w:val="00D71741"/>
    <w:rsid w:val="00D71B33"/>
    <w:rsid w:val="00D72122"/>
    <w:rsid w:val="00D72158"/>
    <w:rsid w:val="00D721A5"/>
    <w:rsid w:val="00D73025"/>
    <w:rsid w:val="00D740F4"/>
    <w:rsid w:val="00D75943"/>
    <w:rsid w:val="00D802FD"/>
    <w:rsid w:val="00D824F2"/>
    <w:rsid w:val="00D82CD4"/>
    <w:rsid w:val="00D833A1"/>
    <w:rsid w:val="00D847A7"/>
    <w:rsid w:val="00D84A02"/>
    <w:rsid w:val="00D857E5"/>
    <w:rsid w:val="00D869C5"/>
    <w:rsid w:val="00D932E1"/>
    <w:rsid w:val="00D937A6"/>
    <w:rsid w:val="00D94A5A"/>
    <w:rsid w:val="00D97721"/>
    <w:rsid w:val="00D97B6A"/>
    <w:rsid w:val="00DA0427"/>
    <w:rsid w:val="00DA05B7"/>
    <w:rsid w:val="00DA127D"/>
    <w:rsid w:val="00DA1FAD"/>
    <w:rsid w:val="00DA266F"/>
    <w:rsid w:val="00DA26A7"/>
    <w:rsid w:val="00DA2928"/>
    <w:rsid w:val="00DA30E8"/>
    <w:rsid w:val="00DA3AE2"/>
    <w:rsid w:val="00DA3B33"/>
    <w:rsid w:val="00DA42A3"/>
    <w:rsid w:val="00DA5B4D"/>
    <w:rsid w:val="00DA5CDB"/>
    <w:rsid w:val="00DA7075"/>
    <w:rsid w:val="00DA74A2"/>
    <w:rsid w:val="00DB1B33"/>
    <w:rsid w:val="00DB3CEF"/>
    <w:rsid w:val="00DB47D6"/>
    <w:rsid w:val="00DB4FFA"/>
    <w:rsid w:val="00DB65DC"/>
    <w:rsid w:val="00DB6650"/>
    <w:rsid w:val="00DB6664"/>
    <w:rsid w:val="00DB73FB"/>
    <w:rsid w:val="00DB7B75"/>
    <w:rsid w:val="00DB7CD4"/>
    <w:rsid w:val="00DC0DBE"/>
    <w:rsid w:val="00DC2BD5"/>
    <w:rsid w:val="00DC429D"/>
    <w:rsid w:val="00DC4ACC"/>
    <w:rsid w:val="00DC5146"/>
    <w:rsid w:val="00DC62D9"/>
    <w:rsid w:val="00DC6512"/>
    <w:rsid w:val="00DC6E17"/>
    <w:rsid w:val="00DC6F8F"/>
    <w:rsid w:val="00DD26B7"/>
    <w:rsid w:val="00DD32D3"/>
    <w:rsid w:val="00DD35D4"/>
    <w:rsid w:val="00DD3E76"/>
    <w:rsid w:val="00DD4A1A"/>
    <w:rsid w:val="00DD4C4B"/>
    <w:rsid w:val="00DD4DCA"/>
    <w:rsid w:val="00DD5001"/>
    <w:rsid w:val="00DD5181"/>
    <w:rsid w:val="00DD5CCB"/>
    <w:rsid w:val="00DD6003"/>
    <w:rsid w:val="00DD668A"/>
    <w:rsid w:val="00DD7A51"/>
    <w:rsid w:val="00DD7B1D"/>
    <w:rsid w:val="00DE1A4C"/>
    <w:rsid w:val="00DE1EC5"/>
    <w:rsid w:val="00DE285A"/>
    <w:rsid w:val="00DE288C"/>
    <w:rsid w:val="00DE2F3F"/>
    <w:rsid w:val="00DE3AB1"/>
    <w:rsid w:val="00DE505B"/>
    <w:rsid w:val="00DE51AF"/>
    <w:rsid w:val="00DE5417"/>
    <w:rsid w:val="00DE5630"/>
    <w:rsid w:val="00DE5A55"/>
    <w:rsid w:val="00DE7227"/>
    <w:rsid w:val="00DE76FC"/>
    <w:rsid w:val="00DF0F94"/>
    <w:rsid w:val="00DF136E"/>
    <w:rsid w:val="00DF2934"/>
    <w:rsid w:val="00DF3789"/>
    <w:rsid w:val="00DF3F22"/>
    <w:rsid w:val="00DF4241"/>
    <w:rsid w:val="00DF45B4"/>
    <w:rsid w:val="00DF4BAB"/>
    <w:rsid w:val="00DF4E86"/>
    <w:rsid w:val="00DF5D14"/>
    <w:rsid w:val="00DF5E0F"/>
    <w:rsid w:val="00DF608E"/>
    <w:rsid w:val="00DF6CC5"/>
    <w:rsid w:val="00DF6FF1"/>
    <w:rsid w:val="00DF76E0"/>
    <w:rsid w:val="00E0139A"/>
    <w:rsid w:val="00E015A9"/>
    <w:rsid w:val="00E016B1"/>
    <w:rsid w:val="00E02883"/>
    <w:rsid w:val="00E03889"/>
    <w:rsid w:val="00E04029"/>
    <w:rsid w:val="00E04242"/>
    <w:rsid w:val="00E06496"/>
    <w:rsid w:val="00E06F81"/>
    <w:rsid w:val="00E0785F"/>
    <w:rsid w:val="00E07DFA"/>
    <w:rsid w:val="00E10861"/>
    <w:rsid w:val="00E10E63"/>
    <w:rsid w:val="00E120BC"/>
    <w:rsid w:val="00E1376C"/>
    <w:rsid w:val="00E15635"/>
    <w:rsid w:val="00E16BEE"/>
    <w:rsid w:val="00E17373"/>
    <w:rsid w:val="00E21914"/>
    <w:rsid w:val="00E21B02"/>
    <w:rsid w:val="00E22D70"/>
    <w:rsid w:val="00E23869"/>
    <w:rsid w:val="00E251B1"/>
    <w:rsid w:val="00E26156"/>
    <w:rsid w:val="00E27323"/>
    <w:rsid w:val="00E3099D"/>
    <w:rsid w:val="00E32786"/>
    <w:rsid w:val="00E333FB"/>
    <w:rsid w:val="00E3345C"/>
    <w:rsid w:val="00E335BB"/>
    <w:rsid w:val="00E33B57"/>
    <w:rsid w:val="00E34598"/>
    <w:rsid w:val="00E35822"/>
    <w:rsid w:val="00E36150"/>
    <w:rsid w:val="00E36F7B"/>
    <w:rsid w:val="00E37DF6"/>
    <w:rsid w:val="00E40778"/>
    <w:rsid w:val="00E41642"/>
    <w:rsid w:val="00E4174E"/>
    <w:rsid w:val="00E41FE9"/>
    <w:rsid w:val="00E4501A"/>
    <w:rsid w:val="00E45786"/>
    <w:rsid w:val="00E4586E"/>
    <w:rsid w:val="00E45DEB"/>
    <w:rsid w:val="00E464B9"/>
    <w:rsid w:val="00E46BFA"/>
    <w:rsid w:val="00E477BE"/>
    <w:rsid w:val="00E47B62"/>
    <w:rsid w:val="00E51517"/>
    <w:rsid w:val="00E51F74"/>
    <w:rsid w:val="00E52E39"/>
    <w:rsid w:val="00E54533"/>
    <w:rsid w:val="00E55868"/>
    <w:rsid w:val="00E561EB"/>
    <w:rsid w:val="00E60C14"/>
    <w:rsid w:val="00E61815"/>
    <w:rsid w:val="00E63FC6"/>
    <w:rsid w:val="00E65D86"/>
    <w:rsid w:val="00E66967"/>
    <w:rsid w:val="00E67E1C"/>
    <w:rsid w:val="00E7052A"/>
    <w:rsid w:val="00E70E2A"/>
    <w:rsid w:val="00E71A18"/>
    <w:rsid w:val="00E721D3"/>
    <w:rsid w:val="00E726B9"/>
    <w:rsid w:val="00E72C1A"/>
    <w:rsid w:val="00E74BBE"/>
    <w:rsid w:val="00E763CD"/>
    <w:rsid w:val="00E76A0F"/>
    <w:rsid w:val="00E7711B"/>
    <w:rsid w:val="00E807D4"/>
    <w:rsid w:val="00E80A66"/>
    <w:rsid w:val="00E8114F"/>
    <w:rsid w:val="00E817AA"/>
    <w:rsid w:val="00E828F9"/>
    <w:rsid w:val="00E82B64"/>
    <w:rsid w:val="00E83E08"/>
    <w:rsid w:val="00E850A3"/>
    <w:rsid w:val="00E8528B"/>
    <w:rsid w:val="00E859BA"/>
    <w:rsid w:val="00E862E2"/>
    <w:rsid w:val="00E86A15"/>
    <w:rsid w:val="00E86C41"/>
    <w:rsid w:val="00E87034"/>
    <w:rsid w:val="00E870B0"/>
    <w:rsid w:val="00E90733"/>
    <w:rsid w:val="00E90F26"/>
    <w:rsid w:val="00E92A06"/>
    <w:rsid w:val="00E92F4A"/>
    <w:rsid w:val="00E931A2"/>
    <w:rsid w:val="00E93D9A"/>
    <w:rsid w:val="00E93F41"/>
    <w:rsid w:val="00E94BA3"/>
    <w:rsid w:val="00E96340"/>
    <w:rsid w:val="00EA2604"/>
    <w:rsid w:val="00EA26A5"/>
    <w:rsid w:val="00EA38D5"/>
    <w:rsid w:val="00EA4363"/>
    <w:rsid w:val="00EA5409"/>
    <w:rsid w:val="00EA566B"/>
    <w:rsid w:val="00EA5F10"/>
    <w:rsid w:val="00EA5F30"/>
    <w:rsid w:val="00EA6E75"/>
    <w:rsid w:val="00EA6EA0"/>
    <w:rsid w:val="00EA6F59"/>
    <w:rsid w:val="00EA6FED"/>
    <w:rsid w:val="00EA789A"/>
    <w:rsid w:val="00EA7F85"/>
    <w:rsid w:val="00EB219C"/>
    <w:rsid w:val="00EB321E"/>
    <w:rsid w:val="00EB3FE4"/>
    <w:rsid w:val="00EB5A57"/>
    <w:rsid w:val="00EB62A2"/>
    <w:rsid w:val="00EB64FC"/>
    <w:rsid w:val="00EB777A"/>
    <w:rsid w:val="00EB7B3E"/>
    <w:rsid w:val="00EC0FC7"/>
    <w:rsid w:val="00EC2254"/>
    <w:rsid w:val="00EC2329"/>
    <w:rsid w:val="00EC3466"/>
    <w:rsid w:val="00EC37C6"/>
    <w:rsid w:val="00EC38C9"/>
    <w:rsid w:val="00EC3CEA"/>
    <w:rsid w:val="00EC4ACC"/>
    <w:rsid w:val="00EC4F16"/>
    <w:rsid w:val="00EC5998"/>
    <w:rsid w:val="00EC6291"/>
    <w:rsid w:val="00EC730F"/>
    <w:rsid w:val="00EC744B"/>
    <w:rsid w:val="00EC778D"/>
    <w:rsid w:val="00EC7B5A"/>
    <w:rsid w:val="00ED1151"/>
    <w:rsid w:val="00ED1573"/>
    <w:rsid w:val="00ED1966"/>
    <w:rsid w:val="00ED1D0F"/>
    <w:rsid w:val="00ED2394"/>
    <w:rsid w:val="00ED2DFA"/>
    <w:rsid w:val="00ED419B"/>
    <w:rsid w:val="00ED4DA5"/>
    <w:rsid w:val="00ED5AAA"/>
    <w:rsid w:val="00ED5AF3"/>
    <w:rsid w:val="00ED6E55"/>
    <w:rsid w:val="00ED70CB"/>
    <w:rsid w:val="00ED71E9"/>
    <w:rsid w:val="00ED7419"/>
    <w:rsid w:val="00EE050F"/>
    <w:rsid w:val="00EE081A"/>
    <w:rsid w:val="00EE1CE1"/>
    <w:rsid w:val="00EE1EB5"/>
    <w:rsid w:val="00EE243B"/>
    <w:rsid w:val="00EE38B5"/>
    <w:rsid w:val="00EE60DB"/>
    <w:rsid w:val="00EE6883"/>
    <w:rsid w:val="00EE7E38"/>
    <w:rsid w:val="00EE7EEA"/>
    <w:rsid w:val="00EF1D7E"/>
    <w:rsid w:val="00EF2533"/>
    <w:rsid w:val="00EF277C"/>
    <w:rsid w:val="00EF2D5D"/>
    <w:rsid w:val="00EF39FC"/>
    <w:rsid w:val="00EF449C"/>
    <w:rsid w:val="00EF4CEE"/>
    <w:rsid w:val="00EF54DB"/>
    <w:rsid w:val="00EF5638"/>
    <w:rsid w:val="00EF6801"/>
    <w:rsid w:val="00EF7890"/>
    <w:rsid w:val="00EF79CC"/>
    <w:rsid w:val="00EF7C0F"/>
    <w:rsid w:val="00EF7D54"/>
    <w:rsid w:val="00EF7F09"/>
    <w:rsid w:val="00F0059C"/>
    <w:rsid w:val="00F016CA"/>
    <w:rsid w:val="00F01BF9"/>
    <w:rsid w:val="00F01E4F"/>
    <w:rsid w:val="00F02C3D"/>
    <w:rsid w:val="00F04143"/>
    <w:rsid w:val="00F0482C"/>
    <w:rsid w:val="00F05994"/>
    <w:rsid w:val="00F07279"/>
    <w:rsid w:val="00F0740D"/>
    <w:rsid w:val="00F07750"/>
    <w:rsid w:val="00F07756"/>
    <w:rsid w:val="00F07780"/>
    <w:rsid w:val="00F0785B"/>
    <w:rsid w:val="00F07C31"/>
    <w:rsid w:val="00F106C0"/>
    <w:rsid w:val="00F10988"/>
    <w:rsid w:val="00F10A7A"/>
    <w:rsid w:val="00F10A86"/>
    <w:rsid w:val="00F1110C"/>
    <w:rsid w:val="00F11550"/>
    <w:rsid w:val="00F12149"/>
    <w:rsid w:val="00F12E25"/>
    <w:rsid w:val="00F13587"/>
    <w:rsid w:val="00F13834"/>
    <w:rsid w:val="00F16387"/>
    <w:rsid w:val="00F2036A"/>
    <w:rsid w:val="00F2038F"/>
    <w:rsid w:val="00F203C7"/>
    <w:rsid w:val="00F20E47"/>
    <w:rsid w:val="00F210E0"/>
    <w:rsid w:val="00F21646"/>
    <w:rsid w:val="00F21917"/>
    <w:rsid w:val="00F25CBF"/>
    <w:rsid w:val="00F27A4B"/>
    <w:rsid w:val="00F27BB1"/>
    <w:rsid w:val="00F3088C"/>
    <w:rsid w:val="00F312AF"/>
    <w:rsid w:val="00F31BEE"/>
    <w:rsid w:val="00F32B0E"/>
    <w:rsid w:val="00F33DC4"/>
    <w:rsid w:val="00F34495"/>
    <w:rsid w:val="00F35946"/>
    <w:rsid w:val="00F359C0"/>
    <w:rsid w:val="00F37DBE"/>
    <w:rsid w:val="00F40203"/>
    <w:rsid w:val="00F40E32"/>
    <w:rsid w:val="00F410B7"/>
    <w:rsid w:val="00F41778"/>
    <w:rsid w:val="00F421EA"/>
    <w:rsid w:val="00F430AC"/>
    <w:rsid w:val="00F44E9D"/>
    <w:rsid w:val="00F462D5"/>
    <w:rsid w:val="00F46975"/>
    <w:rsid w:val="00F477B9"/>
    <w:rsid w:val="00F50794"/>
    <w:rsid w:val="00F516B5"/>
    <w:rsid w:val="00F516F6"/>
    <w:rsid w:val="00F52F08"/>
    <w:rsid w:val="00F53604"/>
    <w:rsid w:val="00F54A39"/>
    <w:rsid w:val="00F54B2D"/>
    <w:rsid w:val="00F54BBB"/>
    <w:rsid w:val="00F55625"/>
    <w:rsid w:val="00F55D59"/>
    <w:rsid w:val="00F55EC6"/>
    <w:rsid w:val="00F55FAE"/>
    <w:rsid w:val="00F5704C"/>
    <w:rsid w:val="00F571C3"/>
    <w:rsid w:val="00F60171"/>
    <w:rsid w:val="00F603C9"/>
    <w:rsid w:val="00F6086F"/>
    <w:rsid w:val="00F613FA"/>
    <w:rsid w:val="00F62FDA"/>
    <w:rsid w:val="00F6631F"/>
    <w:rsid w:val="00F6634B"/>
    <w:rsid w:val="00F7059C"/>
    <w:rsid w:val="00F71C7D"/>
    <w:rsid w:val="00F72112"/>
    <w:rsid w:val="00F723D6"/>
    <w:rsid w:val="00F724AB"/>
    <w:rsid w:val="00F7325B"/>
    <w:rsid w:val="00F7338C"/>
    <w:rsid w:val="00F757A1"/>
    <w:rsid w:val="00F7798C"/>
    <w:rsid w:val="00F77E87"/>
    <w:rsid w:val="00F806A9"/>
    <w:rsid w:val="00F81620"/>
    <w:rsid w:val="00F82107"/>
    <w:rsid w:val="00F8217F"/>
    <w:rsid w:val="00F83113"/>
    <w:rsid w:val="00F83C22"/>
    <w:rsid w:val="00F84521"/>
    <w:rsid w:val="00F84BDC"/>
    <w:rsid w:val="00F86B61"/>
    <w:rsid w:val="00F86CF5"/>
    <w:rsid w:val="00F87451"/>
    <w:rsid w:val="00F874EE"/>
    <w:rsid w:val="00F8785D"/>
    <w:rsid w:val="00F906AB"/>
    <w:rsid w:val="00F91766"/>
    <w:rsid w:val="00F91A6E"/>
    <w:rsid w:val="00F924B3"/>
    <w:rsid w:val="00F9355B"/>
    <w:rsid w:val="00F94E4E"/>
    <w:rsid w:val="00F96B7D"/>
    <w:rsid w:val="00F96F74"/>
    <w:rsid w:val="00FA0537"/>
    <w:rsid w:val="00FA07C3"/>
    <w:rsid w:val="00FA0F24"/>
    <w:rsid w:val="00FA1D08"/>
    <w:rsid w:val="00FA25EA"/>
    <w:rsid w:val="00FA2ECA"/>
    <w:rsid w:val="00FA2FA8"/>
    <w:rsid w:val="00FA5F04"/>
    <w:rsid w:val="00FA65E5"/>
    <w:rsid w:val="00FA65E6"/>
    <w:rsid w:val="00FA6A63"/>
    <w:rsid w:val="00FA74C0"/>
    <w:rsid w:val="00FB1348"/>
    <w:rsid w:val="00FB1B83"/>
    <w:rsid w:val="00FB1EA0"/>
    <w:rsid w:val="00FB2144"/>
    <w:rsid w:val="00FB2DA4"/>
    <w:rsid w:val="00FB39B1"/>
    <w:rsid w:val="00FB45C2"/>
    <w:rsid w:val="00FB6B51"/>
    <w:rsid w:val="00FB7A2C"/>
    <w:rsid w:val="00FC1C91"/>
    <w:rsid w:val="00FC2786"/>
    <w:rsid w:val="00FC36CB"/>
    <w:rsid w:val="00FC3779"/>
    <w:rsid w:val="00FC400D"/>
    <w:rsid w:val="00FC58AA"/>
    <w:rsid w:val="00FC5AD5"/>
    <w:rsid w:val="00FC6359"/>
    <w:rsid w:val="00FC6B40"/>
    <w:rsid w:val="00FC6F54"/>
    <w:rsid w:val="00FC74ED"/>
    <w:rsid w:val="00FC7979"/>
    <w:rsid w:val="00FC7CE2"/>
    <w:rsid w:val="00FD1489"/>
    <w:rsid w:val="00FD15A5"/>
    <w:rsid w:val="00FD2169"/>
    <w:rsid w:val="00FD245E"/>
    <w:rsid w:val="00FD24D9"/>
    <w:rsid w:val="00FD2B4A"/>
    <w:rsid w:val="00FD43CA"/>
    <w:rsid w:val="00FD4B6C"/>
    <w:rsid w:val="00FD6225"/>
    <w:rsid w:val="00FD6598"/>
    <w:rsid w:val="00FD760A"/>
    <w:rsid w:val="00FD7787"/>
    <w:rsid w:val="00FD7C6C"/>
    <w:rsid w:val="00FE01F1"/>
    <w:rsid w:val="00FE0E33"/>
    <w:rsid w:val="00FE1A5C"/>
    <w:rsid w:val="00FE1CB9"/>
    <w:rsid w:val="00FE2B98"/>
    <w:rsid w:val="00FE3040"/>
    <w:rsid w:val="00FE4FE0"/>
    <w:rsid w:val="00FE54A8"/>
    <w:rsid w:val="00FE5E25"/>
    <w:rsid w:val="00FE6741"/>
    <w:rsid w:val="00FE6B1A"/>
    <w:rsid w:val="00FF06F9"/>
    <w:rsid w:val="00FF0FB4"/>
    <w:rsid w:val="00FF1A88"/>
    <w:rsid w:val="00FF260E"/>
    <w:rsid w:val="00FF2B2A"/>
    <w:rsid w:val="00FF2B97"/>
    <w:rsid w:val="00FF47D8"/>
    <w:rsid w:val="00FF4EE6"/>
    <w:rsid w:val="00FF683E"/>
    <w:rsid w:val="00FF7E53"/>
    <w:rsid w:val="01017C4C"/>
    <w:rsid w:val="010975C0"/>
    <w:rsid w:val="01125275"/>
    <w:rsid w:val="01BD44F5"/>
    <w:rsid w:val="020D40B4"/>
    <w:rsid w:val="02323BAA"/>
    <w:rsid w:val="02437D0C"/>
    <w:rsid w:val="02442C1F"/>
    <w:rsid w:val="02794D3F"/>
    <w:rsid w:val="02BD5872"/>
    <w:rsid w:val="02C40750"/>
    <w:rsid w:val="032A7E2C"/>
    <w:rsid w:val="038A621C"/>
    <w:rsid w:val="039E0B4E"/>
    <w:rsid w:val="044F5401"/>
    <w:rsid w:val="04825F32"/>
    <w:rsid w:val="048B3EF4"/>
    <w:rsid w:val="048C3744"/>
    <w:rsid w:val="04AD4C6B"/>
    <w:rsid w:val="04AD6172"/>
    <w:rsid w:val="051E5CB0"/>
    <w:rsid w:val="05255292"/>
    <w:rsid w:val="054C100C"/>
    <w:rsid w:val="05AA1E2F"/>
    <w:rsid w:val="05C24554"/>
    <w:rsid w:val="05C8248C"/>
    <w:rsid w:val="05E565EA"/>
    <w:rsid w:val="05F342AA"/>
    <w:rsid w:val="061606D5"/>
    <w:rsid w:val="061A2F20"/>
    <w:rsid w:val="062A44D1"/>
    <w:rsid w:val="065B5A42"/>
    <w:rsid w:val="071B13D3"/>
    <w:rsid w:val="07264310"/>
    <w:rsid w:val="076631B2"/>
    <w:rsid w:val="07690C89"/>
    <w:rsid w:val="076F40B3"/>
    <w:rsid w:val="07731EDA"/>
    <w:rsid w:val="07F17513"/>
    <w:rsid w:val="082D69C1"/>
    <w:rsid w:val="084B6744"/>
    <w:rsid w:val="08540DD2"/>
    <w:rsid w:val="08C124FC"/>
    <w:rsid w:val="08F80683"/>
    <w:rsid w:val="09014C79"/>
    <w:rsid w:val="09B853C9"/>
    <w:rsid w:val="09F65FB7"/>
    <w:rsid w:val="0A173570"/>
    <w:rsid w:val="0B027B08"/>
    <w:rsid w:val="0B332B30"/>
    <w:rsid w:val="0B707790"/>
    <w:rsid w:val="0B721E65"/>
    <w:rsid w:val="0B8D331C"/>
    <w:rsid w:val="0C2B4859"/>
    <w:rsid w:val="0C45445B"/>
    <w:rsid w:val="0C944AE0"/>
    <w:rsid w:val="0C973E26"/>
    <w:rsid w:val="0CE620D8"/>
    <w:rsid w:val="0D105514"/>
    <w:rsid w:val="0DAF4280"/>
    <w:rsid w:val="0E09186A"/>
    <w:rsid w:val="0E15040C"/>
    <w:rsid w:val="0EE14842"/>
    <w:rsid w:val="0EF57358"/>
    <w:rsid w:val="0F54176A"/>
    <w:rsid w:val="0F654FB0"/>
    <w:rsid w:val="0F6C53AF"/>
    <w:rsid w:val="0F817826"/>
    <w:rsid w:val="100F298C"/>
    <w:rsid w:val="108177A4"/>
    <w:rsid w:val="109B7D77"/>
    <w:rsid w:val="10D572AC"/>
    <w:rsid w:val="10E55ACF"/>
    <w:rsid w:val="110508C5"/>
    <w:rsid w:val="11703FDD"/>
    <w:rsid w:val="11901742"/>
    <w:rsid w:val="11AB24C0"/>
    <w:rsid w:val="11CF7FD4"/>
    <w:rsid w:val="11D87DD3"/>
    <w:rsid w:val="11EC350B"/>
    <w:rsid w:val="12261841"/>
    <w:rsid w:val="122F0092"/>
    <w:rsid w:val="13062E97"/>
    <w:rsid w:val="1319291A"/>
    <w:rsid w:val="136369E3"/>
    <w:rsid w:val="13A4655C"/>
    <w:rsid w:val="13EB4DC2"/>
    <w:rsid w:val="13FF6618"/>
    <w:rsid w:val="14287802"/>
    <w:rsid w:val="14510BA6"/>
    <w:rsid w:val="149E4339"/>
    <w:rsid w:val="14E94D9C"/>
    <w:rsid w:val="158E7E44"/>
    <w:rsid w:val="15CF287D"/>
    <w:rsid w:val="161A3B4F"/>
    <w:rsid w:val="16424436"/>
    <w:rsid w:val="16431650"/>
    <w:rsid w:val="16C12DFE"/>
    <w:rsid w:val="16D34A53"/>
    <w:rsid w:val="1700085B"/>
    <w:rsid w:val="1744507F"/>
    <w:rsid w:val="175F5C40"/>
    <w:rsid w:val="17791C41"/>
    <w:rsid w:val="177F3442"/>
    <w:rsid w:val="17BD2A82"/>
    <w:rsid w:val="17CF7053"/>
    <w:rsid w:val="17DD217F"/>
    <w:rsid w:val="18130D9D"/>
    <w:rsid w:val="18485B9A"/>
    <w:rsid w:val="18765A31"/>
    <w:rsid w:val="192B2CC4"/>
    <w:rsid w:val="19954887"/>
    <w:rsid w:val="19C932B6"/>
    <w:rsid w:val="19E30828"/>
    <w:rsid w:val="1A5255EA"/>
    <w:rsid w:val="1AC90C8B"/>
    <w:rsid w:val="1AD65F0F"/>
    <w:rsid w:val="1B081AAC"/>
    <w:rsid w:val="1B1644A1"/>
    <w:rsid w:val="1B1B008E"/>
    <w:rsid w:val="1B5015DA"/>
    <w:rsid w:val="1B962ED2"/>
    <w:rsid w:val="1B9D0D7A"/>
    <w:rsid w:val="1BEB4C91"/>
    <w:rsid w:val="1C6E046B"/>
    <w:rsid w:val="1C706A45"/>
    <w:rsid w:val="1D340687"/>
    <w:rsid w:val="1DB54174"/>
    <w:rsid w:val="1DC16FB1"/>
    <w:rsid w:val="1E2B689A"/>
    <w:rsid w:val="1E2F1712"/>
    <w:rsid w:val="1E7F5D1F"/>
    <w:rsid w:val="1E842C58"/>
    <w:rsid w:val="1E8865C2"/>
    <w:rsid w:val="1EAE1EFC"/>
    <w:rsid w:val="1F016CAD"/>
    <w:rsid w:val="1F5E32BF"/>
    <w:rsid w:val="1FBC37D3"/>
    <w:rsid w:val="1FC83EB7"/>
    <w:rsid w:val="1FE84CAF"/>
    <w:rsid w:val="1FF07889"/>
    <w:rsid w:val="20071C4E"/>
    <w:rsid w:val="20464D73"/>
    <w:rsid w:val="205D43E9"/>
    <w:rsid w:val="208C27F0"/>
    <w:rsid w:val="208F796F"/>
    <w:rsid w:val="20997A75"/>
    <w:rsid w:val="211045D4"/>
    <w:rsid w:val="21965E5F"/>
    <w:rsid w:val="21994ACB"/>
    <w:rsid w:val="21AD5014"/>
    <w:rsid w:val="21C3662E"/>
    <w:rsid w:val="21D325DC"/>
    <w:rsid w:val="224E1196"/>
    <w:rsid w:val="225459BF"/>
    <w:rsid w:val="227A0A46"/>
    <w:rsid w:val="235B6EB4"/>
    <w:rsid w:val="23734838"/>
    <w:rsid w:val="23A83B1A"/>
    <w:rsid w:val="23AC7819"/>
    <w:rsid w:val="23BD65A6"/>
    <w:rsid w:val="23CE59DC"/>
    <w:rsid w:val="23DE761C"/>
    <w:rsid w:val="23E21B3B"/>
    <w:rsid w:val="23E21C4E"/>
    <w:rsid w:val="23FD6057"/>
    <w:rsid w:val="24625959"/>
    <w:rsid w:val="247058DA"/>
    <w:rsid w:val="24AE36B3"/>
    <w:rsid w:val="24CF1893"/>
    <w:rsid w:val="250768AC"/>
    <w:rsid w:val="2563165F"/>
    <w:rsid w:val="259E41D1"/>
    <w:rsid w:val="25AB0BC2"/>
    <w:rsid w:val="26930344"/>
    <w:rsid w:val="26C77339"/>
    <w:rsid w:val="278957FE"/>
    <w:rsid w:val="279B384F"/>
    <w:rsid w:val="27C17BB1"/>
    <w:rsid w:val="2846151A"/>
    <w:rsid w:val="284D27E8"/>
    <w:rsid w:val="28893793"/>
    <w:rsid w:val="28922557"/>
    <w:rsid w:val="289912A7"/>
    <w:rsid w:val="28A904E4"/>
    <w:rsid w:val="28F42A33"/>
    <w:rsid w:val="2929562D"/>
    <w:rsid w:val="29374942"/>
    <w:rsid w:val="294934D2"/>
    <w:rsid w:val="299F62C3"/>
    <w:rsid w:val="2A6956F3"/>
    <w:rsid w:val="2A9F304A"/>
    <w:rsid w:val="2AB770A3"/>
    <w:rsid w:val="2ABE75C8"/>
    <w:rsid w:val="2AD11833"/>
    <w:rsid w:val="2B2B6629"/>
    <w:rsid w:val="2B462518"/>
    <w:rsid w:val="2B573EC3"/>
    <w:rsid w:val="2B8A310F"/>
    <w:rsid w:val="2BA858AF"/>
    <w:rsid w:val="2C816910"/>
    <w:rsid w:val="2C92734F"/>
    <w:rsid w:val="2C9F7A9F"/>
    <w:rsid w:val="2CA03B11"/>
    <w:rsid w:val="2CA704E8"/>
    <w:rsid w:val="2D283647"/>
    <w:rsid w:val="2D2C1113"/>
    <w:rsid w:val="2D2F78E9"/>
    <w:rsid w:val="2D8E2A4C"/>
    <w:rsid w:val="2DB23EAD"/>
    <w:rsid w:val="2DBF003A"/>
    <w:rsid w:val="2EF4761B"/>
    <w:rsid w:val="2F2F0392"/>
    <w:rsid w:val="2FA318F0"/>
    <w:rsid w:val="2FC31E94"/>
    <w:rsid w:val="2FE73A50"/>
    <w:rsid w:val="30387FF0"/>
    <w:rsid w:val="304308C8"/>
    <w:rsid w:val="307620EE"/>
    <w:rsid w:val="30BE3F50"/>
    <w:rsid w:val="30CF3C85"/>
    <w:rsid w:val="313A5F04"/>
    <w:rsid w:val="318A3455"/>
    <w:rsid w:val="31A326AD"/>
    <w:rsid w:val="31B70DF7"/>
    <w:rsid w:val="31D01BF2"/>
    <w:rsid w:val="32E06116"/>
    <w:rsid w:val="32E13316"/>
    <w:rsid w:val="32E91824"/>
    <w:rsid w:val="3301632F"/>
    <w:rsid w:val="3302137C"/>
    <w:rsid w:val="33076D69"/>
    <w:rsid w:val="33157A8D"/>
    <w:rsid w:val="333373CC"/>
    <w:rsid w:val="336B039B"/>
    <w:rsid w:val="33AF5DB1"/>
    <w:rsid w:val="340121F5"/>
    <w:rsid w:val="340D75AE"/>
    <w:rsid w:val="344B6252"/>
    <w:rsid w:val="34523E99"/>
    <w:rsid w:val="3465048D"/>
    <w:rsid w:val="348F359B"/>
    <w:rsid w:val="34A623E5"/>
    <w:rsid w:val="34F33587"/>
    <w:rsid w:val="351C08D6"/>
    <w:rsid w:val="353B7940"/>
    <w:rsid w:val="357C2EB2"/>
    <w:rsid w:val="35903E59"/>
    <w:rsid w:val="35AA0E18"/>
    <w:rsid w:val="35FC4BAE"/>
    <w:rsid w:val="36433849"/>
    <w:rsid w:val="364A5848"/>
    <w:rsid w:val="365D339C"/>
    <w:rsid w:val="36771FD2"/>
    <w:rsid w:val="367E3075"/>
    <w:rsid w:val="368A2ACE"/>
    <w:rsid w:val="36D80A21"/>
    <w:rsid w:val="376A1906"/>
    <w:rsid w:val="377473F2"/>
    <w:rsid w:val="37917650"/>
    <w:rsid w:val="37C97304"/>
    <w:rsid w:val="380B5E71"/>
    <w:rsid w:val="38563E9E"/>
    <w:rsid w:val="38932D52"/>
    <w:rsid w:val="38B544F0"/>
    <w:rsid w:val="38F84B4A"/>
    <w:rsid w:val="39236D04"/>
    <w:rsid w:val="392D49BE"/>
    <w:rsid w:val="39511E7F"/>
    <w:rsid w:val="39835BBF"/>
    <w:rsid w:val="3A457E4C"/>
    <w:rsid w:val="3A7007EE"/>
    <w:rsid w:val="3ACF5B89"/>
    <w:rsid w:val="3AD20E64"/>
    <w:rsid w:val="3B5B2C90"/>
    <w:rsid w:val="3B9519DF"/>
    <w:rsid w:val="3BE57419"/>
    <w:rsid w:val="3C162957"/>
    <w:rsid w:val="3CA277C0"/>
    <w:rsid w:val="3CCE0ED2"/>
    <w:rsid w:val="3CEF30A7"/>
    <w:rsid w:val="3D040E9D"/>
    <w:rsid w:val="3D153712"/>
    <w:rsid w:val="3D205CE9"/>
    <w:rsid w:val="3D2233FB"/>
    <w:rsid w:val="3D9931DB"/>
    <w:rsid w:val="3DAB75BC"/>
    <w:rsid w:val="3DDD5D91"/>
    <w:rsid w:val="3E2D678E"/>
    <w:rsid w:val="3E335F6C"/>
    <w:rsid w:val="3E4F4BAB"/>
    <w:rsid w:val="3ED1739E"/>
    <w:rsid w:val="3F1A0084"/>
    <w:rsid w:val="3F767B2C"/>
    <w:rsid w:val="3FBE4A8F"/>
    <w:rsid w:val="3FDD0FD4"/>
    <w:rsid w:val="400A5756"/>
    <w:rsid w:val="40173E32"/>
    <w:rsid w:val="401A6ED0"/>
    <w:rsid w:val="4048170F"/>
    <w:rsid w:val="40735C87"/>
    <w:rsid w:val="40CE75B7"/>
    <w:rsid w:val="41401B50"/>
    <w:rsid w:val="416A4344"/>
    <w:rsid w:val="420E081C"/>
    <w:rsid w:val="42143C58"/>
    <w:rsid w:val="42785630"/>
    <w:rsid w:val="43293980"/>
    <w:rsid w:val="434628B6"/>
    <w:rsid w:val="439F5067"/>
    <w:rsid w:val="43ED7624"/>
    <w:rsid w:val="43FC77B9"/>
    <w:rsid w:val="44417D28"/>
    <w:rsid w:val="44711559"/>
    <w:rsid w:val="44DF4FDA"/>
    <w:rsid w:val="45500126"/>
    <w:rsid w:val="465E26CD"/>
    <w:rsid w:val="46996AFD"/>
    <w:rsid w:val="46DD1B6A"/>
    <w:rsid w:val="46E83978"/>
    <w:rsid w:val="46FF5846"/>
    <w:rsid w:val="475B335F"/>
    <w:rsid w:val="476602B2"/>
    <w:rsid w:val="47665A62"/>
    <w:rsid w:val="47A16031"/>
    <w:rsid w:val="47DF749A"/>
    <w:rsid w:val="47F0058F"/>
    <w:rsid w:val="48496FA0"/>
    <w:rsid w:val="48C26B85"/>
    <w:rsid w:val="48D20808"/>
    <w:rsid w:val="48D23980"/>
    <w:rsid w:val="48DA7951"/>
    <w:rsid w:val="491932DF"/>
    <w:rsid w:val="49284D7B"/>
    <w:rsid w:val="492C007A"/>
    <w:rsid w:val="494A7C4C"/>
    <w:rsid w:val="4A120FE1"/>
    <w:rsid w:val="4A291190"/>
    <w:rsid w:val="4A7655C2"/>
    <w:rsid w:val="4A9D0981"/>
    <w:rsid w:val="4AE64D55"/>
    <w:rsid w:val="4B281141"/>
    <w:rsid w:val="4BB275BC"/>
    <w:rsid w:val="4BB80046"/>
    <w:rsid w:val="4BC471B8"/>
    <w:rsid w:val="4BCF41D6"/>
    <w:rsid w:val="4C0E5BAD"/>
    <w:rsid w:val="4C0F6683"/>
    <w:rsid w:val="4C170B63"/>
    <w:rsid w:val="4C6843B9"/>
    <w:rsid w:val="4C77159D"/>
    <w:rsid w:val="4CAB4420"/>
    <w:rsid w:val="4CAC15F2"/>
    <w:rsid w:val="4CB12252"/>
    <w:rsid w:val="4CCE4482"/>
    <w:rsid w:val="4CE20FDD"/>
    <w:rsid w:val="4CEE1542"/>
    <w:rsid w:val="4D2C7A11"/>
    <w:rsid w:val="4D4574D9"/>
    <w:rsid w:val="4D9D16E6"/>
    <w:rsid w:val="4DB908E0"/>
    <w:rsid w:val="4DC46DCF"/>
    <w:rsid w:val="4E33263C"/>
    <w:rsid w:val="4E5E36A1"/>
    <w:rsid w:val="4E96120B"/>
    <w:rsid w:val="4EAC101E"/>
    <w:rsid w:val="4EB21DBF"/>
    <w:rsid w:val="4EB23DF4"/>
    <w:rsid w:val="4F6B43CE"/>
    <w:rsid w:val="4F6C7648"/>
    <w:rsid w:val="4FBE7A50"/>
    <w:rsid w:val="50062B08"/>
    <w:rsid w:val="50233033"/>
    <w:rsid w:val="502E27B1"/>
    <w:rsid w:val="50975EFF"/>
    <w:rsid w:val="50A92825"/>
    <w:rsid w:val="50CC48E8"/>
    <w:rsid w:val="50FF23E2"/>
    <w:rsid w:val="51212F21"/>
    <w:rsid w:val="51603484"/>
    <w:rsid w:val="518566CD"/>
    <w:rsid w:val="523C2582"/>
    <w:rsid w:val="52561296"/>
    <w:rsid w:val="5271353A"/>
    <w:rsid w:val="52756E32"/>
    <w:rsid w:val="527B56DE"/>
    <w:rsid w:val="52AF617F"/>
    <w:rsid w:val="5306399E"/>
    <w:rsid w:val="53653159"/>
    <w:rsid w:val="53C90C15"/>
    <w:rsid w:val="53CF76BD"/>
    <w:rsid w:val="53E64A5C"/>
    <w:rsid w:val="53F520EF"/>
    <w:rsid w:val="53F9098C"/>
    <w:rsid w:val="540B6079"/>
    <w:rsid w:val="541933E7"/>
    <w:rsid w:val="541B4188"/>
    <w:rsid w:val="54235856"/>
    <w:rsid w:val="5445447C"/>
    <w:rsid w:val="550835A1"/>
    <w:rsid w:val="55221270"/>
    <w:rsid w:val="55B56202"/>
    <w:rsid w:val="55D6017A"/>
    <w:rsid w:val="55EC24F6"/>
    <w:rsid w:val="565F02BC"/>
    <w:rsid w:val="567468CD"/>
    <w:rsid w:val="57063BD5"/>
    <w:rsid w:val="572E2094"/>
    <w:rsid w:val="57324B75"/>
    <w:rsid w:val="57362881"/>
    <w:rsid w:val="574235BA"/>
    <w:rsid w:val="574D1453"/>
    <w:rsid w:val="577B3BA6"/>
    <w:rsid w:val="57B92B69"/>
    <w:rsid w:val="57F24C5E"/>
    <w:rsid w:val="58177413"/>
    <w:rsid w:val="58353099"/>
    <w:rsid w:val="586B1645"/>
    <w:rsid w:val="5921524A"/>
    <w:rsid w:val="5948081A"/>
    <w:rsid w:val="598153AA"/>
    <w:rsid w:val="59AB3818"/>
    <w:rsid w:val="59AD4F06"/>
    <w:rsid w:val="5A594CC3"/>
    <w:rsid w:val="5AD44461"/>
    <w:rsid w:val="5B88343B"/>
    <w:rsid w:val="5BDC705A"/>
    <w:rsid w:val="5C190515"/>
    <w:rsid w:val="5C600A0B"/>
    <w:rsid w:val="5C784816"/>
    <w:rsid w:val="5D691CBB"/>
    <w:rsid w:val="5DB74F9B"/>
    <w:rsid w:val="5E34064E"/>
    <w:rsid w:val="5E7A4240"/>
    <w:rsid w:val="5EB42BC3"/>
    <w:rsid w:val="5F4A0338"/>
    <w:rsid w:val="5F4B6306"/>
    <w:rsid w:val="5F813FB4"/>
    <w:rsid w:val="60157F0E"/>
    <w:rsid w:val="602729FA"/>
    <w:rsid w:val="60C522F4"/>
    <w:rsid w:val="60F67612"/>
    <w:rsid w:val="610F77FA"/>
    <w:rsid w:val="61186932"/>
    <w:rsid w:val="613B57ED"/>
    <w:rsid w:val="61490DBE"/>
    <w:rsid w:val="61EC1FC4"/>
    <w:rsid w:val="626112AE"/>
    <w:rsid w:val="628778FD"/>
    <w:rsid w:val="6298317C"/>
    <w:rsid w:val="62D61745"/>
    <w:rsid w:val="63F8368E"/>
    <w:rsid w:val="641F5B3D"/>
    <w:rsid w:val="64202DD0"/>
    <w:rsid w:val="645A1A71"/>
    <w:rsid w:val="64D7394A"/>
    <w:rsid w:val="64DE5FDC"/>
    <w:rsid w:val="64E01134"/>
    <w:rsid w:val="65105312"/>
    <w:rsid w:val="65EC217F"/>
    <w:rsid w:val="66076538"/>
    <w:rsid w:val="668757D1"/>
    <w:rsid w:val="6698677D"/>
    <w:rsid w:val="66AF11BA"/>
    <w:rsid w:val="67054411"/>
    <w:rsid w:val="670B2782"/>
    <w:rsid w:val="672D5701"/>
    <w:rsid w:val="67776558"/>
    <w:rsid w:val="67A46E8F"/>
    <w:rsid w:val="67E9230E"/>
    <w:rsid w:val="67EC2CFC"/>
    <w:rsid w:val="68024255"/>
    <w:rsid w:val="68103D21"/>
    <w:rsid w:val="6828706C"/>
    <w:rsid w:val="683E50DD"/>
    <w:rsid w:val="687142E8"/>
    <w:rsid w:val="689414BE"/>
    <w:rsid w:val="68C84C8D"/>
    <w:rsid w:val="6912754D"/>
    <w:rsid w:val="69203ACC"/>
    <w:rsid w:val="69317CA8"/>
    <w:rsid w:val="69464539"/>
    <w:rsid w:val="6952043D"/>
    <w:rsid w:val="698719E7"/>
    <w:rsid w:val="699F3FEA"/>
    <w:rsid w:val="69C04ABB"/>
    <w:rsid w:val="6A1914BA"/>
    <w:rsid w:val="6A2F5934"/>
    <w:rsid w:val="6A7D6AC8"/>
    <w:rsid w:val="6ABB2314"/>
    <w:rsid w:val="6ACE4D37"/>
    <w:rsid w:val="6AEC620B"/>
    <w:rsid w:val="6B045872"/>
    <w:rsid w:val="6B7A28CD"/>
    <w:rsid w:val="6BD01383"/>
    <w:rsid w:val="6C50402F"/>
    <w:rsid w:val="6C534188"/>
    <w:rsid w:val="6CDB178F"/>
    <w:rsid w:val="6D1228E7"/>
    <w:rsid w:val="6D4B40C0"/>
    <w:rsid w:val="6DDB768F"/>
    <w:rsid w:val="6E6D6FEA"/>
    <w:rsid w:val="6EB1256B"/>
    <w:rsid w:val="6EC82FBB"/>
    <w:rsid w:val="6F715CB1"/>
    <w:rsid w:val="6FAE3061"/>
    <w:rsid w:val="6FD57A77"/>
    <w:rsid w:val="6FE55124"/>
    <w:rsid w:val="6FED1910"/>
    <w:rsid w:val="703F3DA5"/>
    <w:rsid w:val="70B23573"/>
    <w:rsid w:val="70BD3572"/>
    <w:rsid w:val="70F2045B"/>
    <w:rsid w:val="71084330"/>
    <w:rsid w:val="710F71D0"/>
    <w:rsid w:val="71251BB8"/>
    <w:rsid w:val="71652472"/>
    <w:rsid w:val="71E35062"/>
    <w:rsid w:val="720F2076"/>
    <w:rsid w:val="723C5278"/>
    <w:rsid w:val="725557FB"/>
    <w:rsid w:val="727160C2"/>
    <w:rsid w:val="72A417A5"/>
    <w:rsid w:val="72A532A5"/>
    <w:rsid w:val="72D967C4"/>
    <w:rsid w:val="7396760B"/>
    <w:rsid w:val="73A56C56"/>
    <w:rsid w:val="73D33EF5"/>
    <w:rsid w:val="74966354"/>
    <w:rsid w:val="749E4112"/>
    <w:rsid w:val="751B0501"/>
    <w:rsid w:val="752F30C8"/>
    <w:rsid w:val="755D7996"/>
    <w:rsid w:val="75626B88"/>
    <w:rsid w:val="75784475"/>
    <w:rsid w:val="75B30892"/>
    <w:rsid w:val="75B708C9"/>
    <w:rsid w:val="75DF6B89"/>
    <w:rsid w:val="763900A2"/>
    <w:rsid w:val="766C04B8"/>
    <w:rsid w:val="767E6C03"/>
    <w:rsid w:val="76C171BF"/>
    <w:rsid w:val="76D16F69"/>
    <w:rsid w:val="7744581F"/>
    <w:rsid w:val="77667C2A"/>
    <w:rsid w:val="776B49CE"/>
    <w:rsid w:val="7835223A"/>
    <w:rsid w:val="786D6001"/>
    <w:rsid w:val="788F53ED"/>
    <w:rsid w:val="78E623D8"/>
    <w:rsid w:val="794569C4"/>
    <w:rsid w:val="79647B21"/>
    <w:rsid w:val="79AD03EE"/>
    <w:rsid w:val="79CE7234"/>
    <w:rsid w:val="79CF4503"/>
    <w:rsid w:val="7ACA5FC9"/>
    <w:rsid w:val="7B54390E"/>
    <w:rsid w:val="7BA5074D"/>
    <w:rsid w:val="7BB70B28"/>
    <w:rsid w:val="7C020026"/>
    <w:rsid w:val="7C254D3D"/>
    <w:rsid w:val="7C57093F"/>
    <w:rsid w:val="7D691A59"/>
    <w:rsid w:val="7DB5630C"/>
    <w:rsid w:val="7DC96A3D"/>
    <w:rsid w:val="7DD06E79"/>
    <w:rsid w:val="7E3329FD"/>
    <w:rsid w:val="7E34652C"/>
    <w:rsid w:val="7E445010"/>
    <w:rsid w:val="7E5E3BE4"/>
    <w:rsid w:val="7E7A32C5"/>
    <w:rsid w:val="7F0D1780"/>
    <w:rsid w:val="7F573D55"/>
    <w:rsid w:val="7F827F47"/>
    <w:rsid w:val="7F832F6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2"/>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33"/>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34"/>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qFormat/>
    <w:uiPriority w:val="1"/>
  </w:style>
  <w:style w:type="table" w:default="1" w:styleId="14">
    <w:name w:val="Normal Table"/>
    <w:unhideWhenUsed/>
    <w:uiPriority w:val="99"/>
    <w:tblPr>
      <w:tblCellMar>
        <w:top w:w="0" w:type="dxa"/>
        <w:left w:w="108" w:type="dxa"/>
        <w:bottom w:w="0" w:type="dxa"/>
        <w:right w:w="108" w:type="dxa"/>
      </w:tblCellMar>
    </w:tblPr>
  </w:style>
  <w:style w:type="paragraph" w:styleId="5">
    <w:name w:val="annotation text"/>
    <w:basedOn w:val="1"/>
    <w:link w:val="35"/>
    <w:unhideWhenUsed/>
    <w:qFormat/>
    <w:uiPriority w:val="99"/>
    <w:pPr>
      <w:jc w:val="left"/>
    </w:pPr>
  </w:style>
  <w:style w:type="paragraph" w:styleId="6">
    <w:name w:val="Body Text"/>
    <w:basedOn w:val="1"/>
    <w:link w:val="36"/>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37"/>
    <w:unhideWhenUsed/>
    <w:qFormat/>
    <w:uiPriority w:val="99"/>
    <w:pPr>
      <w:ind w:left="100" w:leftChars="2500"/>
    </w:pPr>
  </w:style>
  <w:style w:type="paragraph" w:styleId="8">
    <w:name w:val="Balloon Text"/>
    <w:basedOn w:val="1"/>
    <w:link w:val="38"/>
    <w:unhideWhenUsed/>
    <w:qFormat/>
    <w:uiPriority w:val="99"/>
    <w:rPr>
      <w:kern w:val="0"/>
      <w:sz w:val="18"/>
      <w:szCs w:val="18"/>
    </w:rPr>
  </w:style>
  <w:style w:type="paragraph" w:styleId="9">
    <w:name w:val="footer"/>
    <w:basedOn w:val="1"/>
    <w:link w:val="39"/>
    <w:unhideWhenUsed/>
    <w:qFormat/>
    <w:uiPriority w:val="99"/>
    <w:pPr>
      <w:tabs>
        <w:tab w:val="center" w:pos="4153"/>
        <w:tab w:val="right" w:pos="8306"/>
      </w:tabs>
      <w:snapToGrid w:val="0"/>
      <w:jc w:val="left"/>
    </w:pPr>
    <w:rPr>
      <w:kern w:val="0"/>
      <w:sz w:val="18"/>
      <w:szCs w:val="18"/>
    </w:rPr>
  </w:style>
  <w:style w:type="paragraph" w:styleId="10">
    <w:name w:val="header"/>
    <w:basedOn w:val="1"/>
    <w:link w:val="40"/>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0"/>
    <w:unhideWhenUsed/>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5"/>
    <w:next w:val="5"/>
    <w:link w:val="41"/>
    <w:unhideWhenUsed/>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qFormat/>
    <w:uiPriority w:val="99"/>
    <w:rPr>
      <w:vertAlign w:val="superscript"/>
    </w:rPr>
  </w:style>
  <w:style w:type="character" w:customStyle="1" w:styleId="21">
    <w:name w:val="标题 1 字符"/>
    <w:link w:val="2"/>
    <w:uiPriority w:val="1"/>
    <w:rPr>
      <w:rFonts w:ascii="黑体" w:hAnsi="Times New Roman" w:eastAsia="黑体" w:cs="黑体"/>
      <w:b/>
      <w:bCs/>
      <w:kern w:val="0"/>
      <w:sz w:val="36"/>
      <w:szCs w:val="36"/>
    </w:rPr>
  </w:style>
  <w:style w:type="character" w:customStyle="1" w:styleId="22">
    <w:name w:val="标题 2 字符"/>
    <w:link w:val="3"/>
    <w:uiPriority w:val="9"/>
    <w:rPr>
      <w:rFonts w:ascii="Cambria" w:hAnsi="Cambria" w:eastAsia="宋体" w:cs="Times New Roman"/>
      <w:b/>
      <w:bCs/>
      <w:sz w:val="32"/>
      <w:szCs w:val="32"/>
    </w:rPr>
  </w:style>
  <w:style w:type="character" w:customStyle="1" w:styleId="23">
    <w:name w:val="标题 3 字符"/>
    <w:link w:val="4"/>
    <w:uiPriority w:val="1"/>
    <w:rPr>
      <w:rFonts w:ascii="宋体" w:hAnsi="Times New Roman" w:eastAsia="宋体" w:cs="宋体"/>
      <w:b/>
      <w:bCs/>
      <w:kern w:val="0"/>
      <w:szCs w:val="21"/>
    </w:rPr>
  </w:style>
  <w:style w:type="character" w:customStyle="1" w:styleId="24">
    <w:name w:val="批注文字 字符"/>
    <w:link w:val="5"/>
    <w:uiPriority w:val="99"/>
    <w:rPr>
      <w:kern w:val="2"/>
      <w:sz w:val="21"/>
      <w:szCs w:val="22"/>
    </w:rPr>
  </w:style>
  <w:style w:type="character" w:customStyle="1" w:styleId="25">
    <w:name w:val="正文文本 字符"/>
    <w:link w:val="6"/>
    <w:uiPriority w:val="1"/>
    <w:rPr>
      <w:rFonts w:ascii="宋体" w:hAnsi="Times New Roman" w:eastAsia="宋体" w:cs="宋体"/>
      <w:kern w:val="0"/>
      <w:szCs w:val="21"/>
    </w:rPr>
  </w:style>
  <w:style w:type="character" w:customStyle="1" w:styleId="26">
    <w:name w:val="日期 字符"/>
    <w:basedOn w:val="16"/>
    <w:link w:val="7"/>
    <w:semiHidden/>
    <w:uiPriority w:val="99"/>
  </w:style>
  <w:style w:type="character" w:customStyle="1" w:styleId="27">
    <w:name w:val="批注框文本 字符"/>
    <w:link w:val="8"/>
    <w:semiHidden/>
    <w:uiPriority w:val="99"/>
    <w:rPr>
      <w:sz w:val="18"/>
      <w:szCs w:val="18"/>
    </w:rPr>
  </w:style>
  <w:style w:type="character" w:customStyle="1" w:styleId="28">
    <w:name w:val="页脚 字符"/>
    <w:link w:val="9"/>
    <w:uiPriority w:val="99"/>
    <w:rPr>
      <w:sz w:val="18"/>
      <w:szCs w:val="18"/>
    </w:rPr>
  </w:style>
  <w:style w:type="character" w:customStyle="1" w:styleId="29">
    <w:name w:val="页眉 字符"/>
    <w:link w:val="10"/>
    <w:uiPriority w:val="99"/>
    <w:rPr>
      <w:sz w:val="18"/>
      <w:szCs w:val="18"/>
    </w:rPr>
  </w:style>
  <w:style w:type="character" w:customStyle="1" w:styleId="30">
    <w:name w:val="脚注文本 字符1"/>
    <w:link w:val="11"/>
    <w:uiPriority w:val="99"/>
    <w:rPr>
      <w:kern w:val="2"/>
      <w:sz w:val="18"/>
      <w:szCs w:val="18"/>
    </w:rPr>
  </w:style>
  <w:style w:type="character" w:customStyle="1" w:styleId="31">
    <w:name w:val="批注主题 字符"/>
    <w:link w:val="13"/>
    <w:semiHidden/>
    <w:uiPriority w:val="99"/>
    <w:rPr>
      <w:b/>
      <w:bCs/>
      <w:kern w:val="2"/>
      <w:sz w:val="21"/>
      <w:szCs w:val="22"/>
    </w:rPr>
  </w:style>
  <w:style w:type="character" w:customStyle="1" w:styleId="32">
    <w:name w:val="标题 1 Char"/>
    <w:link w:val="2"/>
    <w:uiPriority w:val="1"/>
    <w:rPr>
      <w:rFonts w:ascii="黑体" w:hAnsi="Times New Roman" w:eastAsia="黑体" w:cs="黑体"/>
      <w:b/>
      <w:bCs/>
      <w:kern w:val="0"/>
      <w:sz w:val="36"/>
      <w:szCs w:val="36"/>
    </w:rPr>
  </w:style>
  <w:style w:type="character" w:customStyle="1" w:styleId="33">
    <w:name w:val="标题 2 Char"/>
    <w:link w:val="3"/>
    <w:uiPriority w:val="9"/>
    <w:rPr>
      <w:rFonts w:ascii="Cambria" w:hAnsi="Cambria" w:eastAsia="宋体" w:cs="Times New Roman"/>
      <w:b/>
      <w:bCs/>
      <w:sz w:val="32"/>
      <w:szCs w:val="32"/>
    </w:rPr>
  </w:style>
  <w:style w:type="character" w:customStyle="1" w:styleId="34">
    <w:name w:val="标题 3 Char"/>
    <w:link w:val="4"/>
    <w:uiPriority w:val="1"/>
    <w:rPr>
      <w:rFonts w:ascii="宋体" w:hAnsi="Times New Roman" w:eastAsia="宋体" w:cs="宋体"/>
      <w:b/>
      <w:bCs/>
      <w:kern w:val="0"/>
      <w:szCs w:val="21"/>
    </w:rPr>
  </w:style>
  <w:style w:type="character" w:customStyle="1" w:styleId="35">
    <w:name w:val="批注文字 Char"/>
    <w:link w:val="5"/>
    <w:uiPriority w:val="99"/>
    <w:rPr>
      <w:rFonts w:ascii="Times New Roman" w:hAnsi="Times New Roman" w:eastAsia="宋体" w:cs="Times New Roman"/>
      <w:kern w:val="2"/>
      <w:sz w:val="21"/>
      <w:szCs w:val="22"/>
    </w:rPr>
  </w:style>
  <w:style w:type="character" w:customStyle="1" w:styleId="36">
    <w:name w:val="正文文本 Char"/>
    <w:link w:val="6"/>
    <w:uiPriority w:val="1"/>
    <w:rPr>
      <w:rFonts w:ascii="宋体" w:hAnsi="Times New Roman" w:eastAsia="宋体" w:cs="宋体"/>
      <w:kern w:val="0"/>
      <w:szCs w:val="21"/>
    </w:rPr>
  </w:style>
  <w:style w:type="character" w:customStyle="1" w:styleId="37">
    <w:name w:val="日期 Char"/>
    <w:basedOn w:val="16"/>
    <w:link w:val="7"/>
    <w:semiHidden/>
    <w:uiPriority w:val="99"/>
    <w:rPr>
      <w:rFonts w:ascii="Times New Roman" w:hAnsi="Times New Roman" w:eastAsia="宋体" w:cs="Times New Roman"/>
    </w:rPr>
  </w:style>
  <w:style w:type="character" w:customStyle="1" w:styleId="38">
    <w:name w:val="批注框文本 Char"/>
    <w:link w:val="8"/>
    <w:semiHidden/>
    <w:uiPriority w:val="99"/>
    <w:rPr>
      <w:rFonts w:ascii="Times New Roman" w:hAnsi="Times New Roman" w:eastAsia="宋体" w:cs="Times New Roman"/>
      <w:sz w:val="18"/>
      <w:szCs w:val="18"/>
    </w:rPr>
  </w:style>
  <w:style w:type="character" w:customStyle="1" w:styleId="39">
    <w:name w:val="页脚 Char"/>
    <w:link w:val="9"/>
    <w:uiPriority w:val="99"/>
    <w:rPr>
      <w:rFonts w:ascii="Times New Roman" w:hAnsi="Times New Roman" w:eastAsia="宋体" w:cs="Times New Roman"/>
      <w:sz w:val="18"/>
      <w:szCs w:val="18"/>
    </w:rPr>
  </w:style>
  <w:style w:type="character" w:customStyle="1" w:styleId="40">
    <w:name w:val="页眉 Char"/>
    <w:link w:val="10"/>
    <w:uiPriority w:val="99"/>
    <w:rPr>
      <w:rFonts w:ascii="Times New Roman" w:hAnsi="Times New Roman" w:eastAsia="宋体" w:cs="Times New Roman"/>
      <w:sz w:val="18"/>
      <w:szCs w:val="18"/>
    </w:rPr>
  </w:style>
  <w:style w:type="character" w:customStyle="1" w:styleId="41">
    <w:name w:val="批注主题 Char"/>
    <w:link w:val="13"/>
    <w:semiHidden/>
    <w:uiPriority w:val="99"/>
    <w:rPr>
      <w:rFonts w:ascii="Times New Roman" w:hAnsi="Times New Roman" w:eastAsia="宋体" w:cs="Times New Roman"/>
      <w:b/>
      <w:bCs/>
      <w:kern w:val="2"/>
      <w:sz w:val="21"/>
      <w:szCs w:val="22"/>
    </w:rPr>
  </w:style>
  <w:style w:type="character" w:customStyle="1" w:styleId="42">
    <w:name w:val="脚注文本 字符"/>
    <w:semiHidden/>
    <w:uiPriority w:val="99"/>
    <w:rPr>
      <w:kern w:val="2"/>
      <w:sz w:val="18"/>
      <w:szCs w:val="18"/>
    </w:rPr>
  </w:style>
  <w:style w:type="paragraph" w:styleId="43">
    <w:name w:val="List Paragraph"/>
    <w:basedOn w:val="1"/>
    <w:qFormat/>
    <w:uiPriority w:val="72"/>
    <w:pPr>
      <w:ind w:firstLine="420" w:firstLineChars="200"/>
    </w:pPr>
  </w:style>
  <w:style w:type="paragraph" w:customStyle="1" w:styleId="44">
    <w:name w:val="_Style 43"/>
    <w:semiHidden/>
    <w:uiPriority w:val="99"/>
    <w:rPr>
      <w:rFonts w:ascii="Times New Roman" w:hAnsi="Times New Roman" w:eastAsia="宋体" w:cs="Times New Roman"/>
      <w:kern w:val="2"/>
      <w:sz w:val="21"/>
      <w:szCs w:val="22"/>
      <w:lang w:val="en-US" w:eastAsia="zh-CN" w:bidi="ar-SA"/>
    </w:rPr>
  </w:style>
  <w:style w:type="paragraph" w:customStyle="1" w:styleId="45">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46">
    <w:name w:val="Default"/>
    <w:uiPriority w:val="0"/>
    <w:pPr>
      <w:widowControl w:val="0"/>
      <w:autoSpaceDE w:val="0"/>
      <w:autoSpaceDN w:val="0"/>
      <w:adjustRightInd w:val="0"/>
    </w:pPr>
    <w:rPr>
      <w:rFonts w:ascii="宋体" w:hAnsi="宋体"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41</Pages>
  <Words>39331</Words>
  <Characters>40586</Characters>
  <Lines>41</Lines>
  <Paragraphs>11</Paragraphs>
  <TotalTime>1</TotalTime>
  <ScaleCrop>false</ScaleCrop>
  <LinksUpToDate>false</LinksUpToDate>
  <CharactersWithSpaces>40824</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Lenovo</cp:lastModifiedBy>
  <cp:lastPrinted>2024-06-18T08:59:00Z</cp:lastPrinted>
  <dcterms:modified xsi:type="dcterms:W3CDTF">2025-07-22T02:07:09Z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E7892748780C49BB89F1545E811051F2</vt:lpwstr>
  </property>
</Properties>
</file>