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北银理财京华远见春系列卓远固收封闭式113号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6"/>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7"/>
        <w:tblW w:w="0" w:type="auto"/>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noWrap w:val="0"/>
            <w:vAlign w:val="top"/>
          </w:tcPr>
          <w:p>
            <w:pPr>
              <w:pStyle w:val="11"/>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noWrap w:val="0"/>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noWrap w:val="0"/>
            <w:vAlign w:val="top"/>
          </w:tcPr>
          <w:p>
            <w:pPr>
              <w:pStyle w:val="11"/>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noWrap w:val="0"/>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noWrap w:val="0"/>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noWrap w:val="0"/>
            <w:vAlign w:val="top"/>
          </w:tcPr>
          <w:p>
            <w:pPr>
              <w:pStyle w:val="11"/>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auto"/>
          <w:sz w:val="24"/>
          <w:highlight w:val="none"/>
        </w:rPr>
        <w:t>代销机构网站</w:t>
      </w:r>
      <w:r>
        <w:rPr>
          <w:rFonts w:hint="eastAsia" w:ascii="楷体_GB2312" w:eastAsia="楷体_GB2312"/>
          <w:color w:val="auto"/>
          <w:sz w:val="24"/>
          <w:highlight w:val="none"/>
          <w:lang w:eastAsia="zh-CN"/>
        </w:rPr>
        <w:t>、</w:t>
      </w:r>
      <w:r>
        <w:rPr>
          <w:rFonts w:hint="eastAsia" w:ascii="楷体_GB2312" w:eastAsia="楷体_GB2312"/>
          <w:color w:val="auto"/>
          <w:sz w:val="24"/>
          <w:highlight w:val="none"/>
          <w:lang w:val="en-US" w:eastAsia="zh-CN"/>
        </w:rPr>
        <w:t>中国理财网或</w:t>
      </w:r>
      <w:r>
        <w:rPr>
          <w:rFonts w:hint="eastAsia" w:ascii="楷体_GB2312" w:eastAsia="楷体_GB2312"/>
          <w:color w:val="auto"/>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80" w:firstLineChars="200"/>
        <w:outlineLvl w:val="0"/>
        <w:rPr>
          <w:rFonts w:hint="eastAsia" w:ascii="楷体_GB2312" w:hAnsi="宋体" w:eastAsia="楷体_GB2312"/>
          <w:color w:val="auto"/>
          <w:sz w:val="24"/>
        </w:rPr>
      </w:pPr>
      <w:r>
        <w:rPr>
          <w:rFonts w:hint="eastAsia" w:ascii="楷体_GB2312" w:eastAsia="楷体_GB2312"/>
          <w:bCs/>
          <w:color w:val="auto"/>
          <w:sz w:val="24"/>
          <w:highlight w:val="none"/>
          <w:lang w:val="en-US" w:eastAsia="zh-CN"/>
        </w:rPr>
        <w:t>A</w:t>
      </w:r>
      <w:r>
        <w:rPr>
          <w:rFonts w:hint="eastAsia" w:ascii="楷体_GB2312" w:eastAsia="楷体_GB2312"/>
          <w:bCs/>
          <w:color w:val="auto"/>
          <w:sz w:val="24"/>
          <w:highlight w:val="none"/>
        </w:rPr>
        <w:t>类份额</w:t>
      </w:r>
      <w:r>
        <w:rPr>
          <w:rFonts w:hint="eastAsia" w:ascii="楷体_GB2312" w:hAnsi="宋体" w:eastAsia="楷体_GB2312"/>
          <w:color w:val="auto"/>
          <w:sz w:val="24"/>
        </w:rPr>
        <w:t>代销机构名称：</w:t>
      </w:r>
      <w:r>
        <w:rPr>
          <w:rFonts w:hint="eastAsia" w:ascii="楷体_GB2312" w:hAnsi="宋体" w:eastAsia="楷体_GB2312"/>
          <w:color w:val="auto"/>
          <w:sz w:val="24"/>
          <w:lang w:val="en-US" w:eastAsia="zh-CN"/>
        </w:rPr>
        <w:t>威海银行股份有限公司</w:t>
      </w:r>
    </w:p>
    <w:p>
      <w:pPr>
        <w:ind w:firstLine="480" w:firstLineChars="200"/>
        <w:outlineLvl w:val="0"/>
        <w:rPr>
          <w:rFonts w:hint="eastAsia" w:ascii="楷体_GB2312" w:hAnsi="宋体" w:eastAsia="楷体_GB2312"/>
          <w:color w:val="auto"/>
          <w:sz w:val="24"/>
        </w:rPr>
      </w:pPr>
      <w:r>
        <w:rPr>
          <w:rFonts w:hint="eastAsia" w:ascii="楷体_GB2312" w:hAnsi="宋体" w:eastAsia="楷体_GB2312"/>
          <w:color w:val="auto"/>
          <w:sz w:val="24"/>
          <w:lang w:val="en-US" w:eastAsia="zh-CN"/>
        </w:rPr>
        <w:t>代销机构客户服务热线：96636</w:t>
      </w:r>
    </w:p>
    <w:p>
      <w:pPr>
        <w:ind w:firstLine="480" w:firstLineChars="200"/>
        <w:outlineLvl w:val="0"/>
        <w:rPr>
          <w:rStyle w:val="10"/>
          <w:rFonts w:hint="eastAsia" w:ascii="楷体_GB2312" w:eastAsia="楷体_GB2312"/>
          <w:color w:val="auto"/>
          <w:sz w:val="24"/>
          <w:highlight w:val="none"/>
          <w:lang w:val="en-US" w:eastAsia="zh-CN"/>
        </w:rPr>
      </w:pPr>
      <w:r>
        <w:rPr>
          <w:rFonts w:hint="eastAsia" w:ascii="楷体_GB2312" w:hAnsi="宋体" w:eastAsia="楷体_GB2312"/>
          <w:color w:val="auto"/>
          <w:sz w:val="24"/>
          <w:lang w:val="en-US" w:eastAsia="zh-CN"/>
        </w:rPr>
        <w:t>代销机构门户网站：http://www.whccb.com/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hAnsi="Times New Roman" w:eastAsia="楷体_GB2312" w:cs="Times New Roman"/>
          <w:color w:val="000000"/>
          <w:sz w:val="24"/>
          <w:highlight w:val="none"/>
          <w:lang w:eastAsia="zh-CN"/>
        </w:rPr>
        <w:t>北银理财京华远见春系列卓远固收封闭式113号</w:t>
      </w:r>
      <w:r>
        <w:rPr>
          <w:rFonts w:ascii="楷体_GB2312" w:hAnsi="Times New Roman" w:eastAsia="楷体_GB2312" w:cs="Times New Roman"/>
          <w:color w:val="000000"/>
          <w:sz w:val="24"/>
          <w:highlight w:val="none"/>
        </w:rPr>
        <w:t>理财</w:t>
      </w:r>
      <w:r>
        <w:rPr>
          <w:rFonts w:hint="eastAsia" w:ascii="楷体_GB2312" w:hAnsi="Times New Roman" w:eastAsia="楷体_GB2312" w:cs="Times New Roman"/>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pStyle w:val="6"/>
        <w:rPr>
          <w:rFonts w:ascii="楷体_GB2312" w:eastAsia="楷体_GB2312"/>
          <w:color w:val="000000"/>
          <w:sz w:val="24"/>
          <w:highlight w:val="none"/>
        </w:rPr>
      </w:pPr>
    </w:p>
    <w:p>
      <w:pPr>
        <w:pStyle w:val="3"/>
        <w:rPr>
          <w:rFonts w:ascii="楷体_GB2312" w:eastAsia="楷体_GB2312"/>
          <w:color w:val="000000"/>
          <w:sz w:val="24"/>
          <w:highlight w:val="none"/>
        </w:rPr>
      </w:pPr>
    </w:p>
    <w:p>
      <w:pPr>
        <w:pStyle w:val="3"/>
        <w:rPr>
          <w:rFonts w:ascii="楷体_GB2312" w:eastAsia="楷体_GB2312"/>
          <w:color w:val="000000"/>
          <w:sz w:val="24"/>
          <w:highlight w:val="none"/>
        </w:rPr>
      </w:pPr>
    </w:p>
    <w:p>
      <w:pPr>
        <w:ind w:right="480" w:firstLine="5870" w:firstLineChars="2446"/>
        <w:outlineLvl w:val="0"/>
        <w:rPr>
          <w:rFonts w:ascii="楷体_GB2312" w:eastAsia="楷体_GB2312"/>
          <w:color w:val="000000"/>
          <w:sz w:val="24"/>
          <w:highlight w:val="none"/>
        </w:rPr>
      </w:pPr>
    </w:p>
    <w:p>
      <w:pPr>
        <w:pStyle w:val="11"/>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11"/>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11"/>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bookmarkStart w:id="0" w:name="_GoBack"/>
      <w:bookmarkEnd w:id="0"/>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5"/>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北银理财·京华远见春系列</w:t>
    </w:r>
    <w:r>
      <w:rPr>
        <w:rFonts w:hint="eastAsia" w:ascii="黑体" w:hAnsi="黑体" w:eastAsia="黑体"/>
        <w:b/>
        <w:lang w:val="en-US" w:eastAsia="zh-CN"/>
      </w:rPr>
      <w:t xml:space="preserve">卓远固收封闭式  </w:t>
    </w:r>
    <w:r>
      <w:rPr>
        <w:rFonts w:hint="eastAsia" w:ascii="黑体" w:hAnsi="黑体" w:eastAsia="黑体"/>
        <w:b/>
        <w:highlight w:val="none"/>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512A9"/>
    <w:rsid w:val="63651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Body Text First Indent 2"/>
    <w:basedOn w:val="4"/>
    <w:next w:val="3"/>
    <w:unhideWhenUsed/>
    <w:qFormat/>
    <w:uiPriority w:val="99"/>
    <w:pPr>
      <w:spacing w:after="0"/>
      <w:ind w:left="360" w:firstLine="360"/>
    </w:pPr>
  </w:style>
  <w:style w:type="character" w:styleId="9">
    <w:name w:val="page number"/>
    <w:qFormat/>
    <w:uiPriority w:val="0"/>
  </w:style>
  <w:style w:type="character" w:styleId="10">
    <w:name w:val="Hyperlink"/>
    <w:qFormat/>
    <w:uiPriority w:val="0"/>
    <w:rPr>
      <w:color w:val="0000FF"/>
      <w:u w:val="single"/>
    </w:rPr>
  </w:style>
  <w:style w:type="paragraph" w:customStyle="1" w:styleId="11">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2025-06-05T01:15:00Z</dcterms:created>
  <dc:creator>Lenovo</dc:creator>
  <cp:lastModifiedBy>Lenovo</cp:lastModifiedBy>
  <dcterms:modified xsi:type="dcterms:W3CDTF">2025-06-05T01:15:41Z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4BD886DC55964CDA92EAADAB239635AA</vt:lpwstr>
  </property>
</Properties>
</file>