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156" w:beforeLines="50" w:beforeAutospacing="0" w:after="0" w:afterAutospacing="0"/>
        <w:jc w:val="center"/>
        <w:rPr>
          <w:rFonts w:hint="eastAsia" w:ascii="楷体" w:hAnsi="楷体" w:eastAsia="楷体"/>
          <w:b/>
          <w:sz w:val="36"/>
          <w:szCs w:val="36"/>
        </w:rPr>
      </w:pPr>
      <w:bookmarkStart w:id="0" w:name="_GoBack"/>
      <w:bookmarkEnd w:id="0"/>
      <w:r>
        <w:rPr>
          <w:rFonts w:ascii="楷体" w:hAnsi="楷体" w:eastAsia="楷体"/>
        </w:rPr>
        <mc:AlternateContent>
          <mc:Choice Requires="wps">
            <w:drawing>
              <wp:anchor distT="45720" distB="45720" distL="114300" distR="114300" simplePos="0" relativeHeight="251659264" behindDoc="0" locked="0" layoutInCell="1" allowOverlap="1">
                <wp:simplePos x="0" y="0"/>
                <wp:positionH relativeFrom="margin">
                  <wp:posOffset>-334645</wp:posOffset>
                </wp:positionH>
                <wp:positionV relativeFrom="paragraph">
                  <wp:posOffset>61595</wp:posOffset>
                </wp:positionV>
                <wp:extent cx="5931535" cy="2476500"/>
                <wp:effectExtent l="4445" t="4445" r="7620" b="14605"/>
                <wp:wrapSquare wrapText="bothSides"/>
                <wp:docPr id="1" name="文本框 2"/>
                <wp:cNvGraphicFramePr/>
                <a:graphic xmlns:a="http://schemas.openxmlformats.org/drawingml/2006/main">
                  <a:graphicData uri="http://schemas.microsoft.com/office/word/2010/wordprocessingShape">
                    <wps:wsp>
                      <wps:cNvSpPr txBox="1"/>
                      <wps:spPr>
                        <a:xfrm>
                          <a:off x="0" y="0"/>
                          <a:ext cx="5931535" cy="2476500"/>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wps:txbx>
                      <wps:bodyPr vert="horz" wrap="square" anchor="t" anchorCtr="0" upright="1"/>
                    </wps:wsp>
                  </a:graphicData>
                </a:graphic>
              </wp:anchor>
            </w:drawing>
          </mc:Choice>
          <mc:Fallback>
            <w:pict>
              <v:shape id="文本框 2" o:spid="_x0000_s1026" o:spt="202" type="#_x0000_t202" style="position:absolute;left:0pt;margin-left:-26.35pt;margin-top:4.85pt;height:195pt;width:467.05pt;mso-position-horizontal-relative:margin;mso-wrap-distance-bottom:3.6pt;mso-wrap-distance-left:9pt;mso-wrap-distance-right:9pt;mso-wrap-distance-top:3.6pt;z-index:251659264;mso-width-relative:page;mso-height-relative:page;" filled="f" stroked="t" coordsize="21600,21600" o:gfxdata="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Qc5WjWAAAACQEAAA8AAAAAAAAAAQAgAAAAIgAAAGRycy9kb3ducmV2LnhtbFBLAQIUABQA&#10;AAAIAIdO4kBXhKIiKwIAAE8EAAAOAAAAAAAAAAEAIAAAACUBAABkcnMvZTJvRG9jLnhtbFBLBQYA&#10;AAAABgAGAFkBAADC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恒源6月定开15期</w:t>
      </w:r>
      <w:r>
        <w:rPr>
          <w:rFonts w:hint="eastAsia" w:ascii="楷体" w:hAnsi="楷体" w:eastAsia="楷体"/>
          <w:b/>
          <w:sz w:val="36"/>
          <w:szCs w:val="36"/>
        </w:rPr>
        <w:t>”理财产品合同</w:t>
      </w:r>
    </w:p>
    <w:p>
      <w:pPr>
        <w:pStyle w:val="12"/>
        <w:spacing w:before="0" w:beforeAutospacing="0" w:after="0" w:afterAutospacing="0" w:line="360" w:lineRule="auto"/>
        <w:jc w:val="center"/>
        <w:rPr>
          <w:rFonts w:hint="eastAsia" w:ascii="楷体" w:hAnsi="楷体" w:eastAsia="楷体"/>
          <w:b/>
          <w:lang w:val="en-US" w:eastAsia="zh-CN"/>
        </w:rPr>
      </w:pPr>
      <w:r>
        <w:rPr>
          <w:rFonts w:hint="eastAsia" w:ascii="楷体" w:hAnsi="楷体" w:eastAsia="楷体"/>
          <w:b/>
          <w:sz w:val="32"/>
          <w:szCs w:val="32"/>
        </w:rPr>
        <w:t>理财非存款、产品有风险、投资须谨慎</w:t>
      </w:r>
    </w:p>
    <w:p>
      <w:pPr>
        <w:pStyle w:val="12"/>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5</w:t>
      </w:r>
      <w:r>
        <w:rPr>
          <w:rFonts w:hint="eastAsia" w:ascii="楷体" w:hAnsi="楷体" w:eastAsia="楷体"/>
          <w:b/>
        </w:rPr>
        <w:t>月版）</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恒源6月定开15期</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恒源6月定开15期</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0"/>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0"/>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2"/>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2"/>
        <w:spacing w:before="156" w:beforeLines="50" w:beforeAutospacing="0" w:after="0" w:afterAutospacing="0" w:line="280" w:lineRule="atLeast"/>
        <w:rPr>
          <w:rFonts w:hint="eastAsia" w:ascii="楷体" w:hAnsi="楷体" w:eastAsia="楷体"/>
        </w:rPr>
      </w:pPr>
      <w:r>
        <w:rPr>
          <w:rStyle w:val="17"/>
          <w:rFonts w:hint="eastAsia" w:ascii="楷体" w:hAnsi="楷体" w:eastAsia="楷体"/>
          <w:bCs w:val="0"/>
        </w:rPr>
        <w:t>郑重提示：</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pageBreakBefore/>
        <w:spacing w:before="0" w:beforeAutospacing="0" w:after="0" w:afterAutospacing="0" w:line="360" w:lineRule="auto"/>
        <w:jc w:val="center"/>
        <w:outlineLvl w:val="0"/>
        <w:rPr>
          <w:rFonts w:hint="eastAsia" w:ascii="楷体" w:hAnsi="楷体" w:eastAsia="楷体"/>
          <w:b/>
          <w:sz w:val="32"/>
          <w:szCs w:val="32"/>
        </w:rPr>
      </w:pPr>
      <w:r>
        <w:rPr>
          <w:rFonts w:hint="eastAsia" w:ascii="楷体" w:hAnsi="楷体" w:eastAsia="楷体"/>
          <w:b/>
          <w:sz w:val="32"/>
          <w:szCs w:val="32"/>
        </w:rPr>
        <w:t>“苏银理财</w:t>
      </w:r>
      <w:r>
        <w:rPr>
          <w:rFonts w:hint="eastAsia" w:ascii="楷体" w:hAnsi="楷体" w:eastAsia="楷体"/>
          <w:b/>
          <w:sz w:val="32"/>
          <w:szCs w:val="32"/>
          <w:lang w:eastAsia="zh-CN"/>
        </w:rPr>
        <w:t>恒源6月定开15期</w:t>
      </w:r>
      <w:r>
        <w:rPr>
          <w:rFonts w:hint="eastAsia" w:ascii="楷体" w:hAnsi="楷体" w:eastAsia="楷体"/>
          <w:b/>
          <w:sz w:val="32"/>
          <w:szCs w:val="32"/>
        </w:rPr>
        <w:t>”理财产品风险揭示书</w:t>
      </w:r>
    </w:p>
    <w:p>
      <w:pPr>
        <w:jc w:val="center"/>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2" w:firstLineChars="200"/>
        <w:outlineLvl w:val="1"/>
        <w:rPr>
          <w:rFonts w:hint="eastAsia" w:ascii="楷体" w:hAnsi="楷体" w:eastAsia="楷体"/>
          <w:b/>
          <w:sz w:val="24"/>
          <w:szCs w:val="24"/>
        </w:rPr>
      </w:pPr>
      <w:r>
        <w:rPr>
          <w:rFonts w:hint="eastAsia" w:ascii="楷体" w:hAnsi="楷体" w:eastAsia="楷体"/>
          <w:b/>
          <w:sz w:val="28"/>
          <w:szCs w:val="28"/>
        </w:rPr>
        <w:t>风险揭示</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b w:val="0"/>
          <w:bCs/>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w:t>
      </w:r>
      <w:r>
        <w:rPr>
          <w:rFonts w:hint="eastAsia" w:ascii="楷体" w:hAnsi="楷体" w:eastAsia="楷体"/>
          <w:sz w:val="24"/>
          <w:szCs w:val="24"/>
          <w:highlight w:val="none"/>
        </w:rPr>
        <w:t>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w:t>
      </w:r>
      <w:r>
        <w:rPr>
          <w:rFonts w:hint="eastAsia" w:ascii="楷体" w:hAnsi="楷体" w:eastAsia="楷体"/>
          <w:sz w:val="24"/>
          <w:szCs w:val="24"/>
          <w:highlight w:val="none"/>
          <w:lang w:eastAsia="zh-CN"/>
        </w:rPr>
        <w:t>）</w:t>
      </w:r>
      <w:r>
        <w:rPr>
          <w:rFonts w:hint="eastAsia" w:ascii="楷体" w:hAnsi="楷体" w:eastAsia="楷体"/>
          <w:sz w:val="24"/>
          <w:szCs w:val="24"/>
          <w:highlight w:val="none"/>
        </w:rPr>
        <w:t>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w:t>
      </w:r>
      <w:r>
        <w:rPr>
          <w:rFonts w:hint="eastAsia" w:ascii="楷体" w:hAnsi="楷体" w:eastAsia="楷体"/>
          <w:sz w:val="24"/>
          <w:szCs w:val="24"/>
        </w:rPr>
        <w:t>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rPr>
          <w:rFonts w:hint="eastAsia" w:ascii="楷体" w:hAnsi="楷体" w:eastAsia="楷体"/>
          <w:b/>
          <w:bCs/>
          <w:sz w:val="24"/>
          <w:szCs w:val="24"/>
          <w:u w:val="single"/>
        </w:rPr>
      </w:pPr>
      <w:r>
        <w:rPr>
          <w:rFonts w:hint="eastAsia" w:ascii="楷体" w:hAnsi="楷体" w:eastAsia="楷体"/>
          <w:b/>
          <w:bCs/>
          <w:sz w:val="24"/>
          <w:szCs w:val="24"/>
          <w:u w:val="single"/>
        </w:rPr>
        <w:t>非标准化债权的特殊风险：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融资方还款履约能力可能的变化导致的信用风险。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债务人提前还款或逾期还款的风险。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保证人未履行保证义务的风险等。</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2" w:firstLineChars="200"/>
        <w:outlineLvl w:val="1"/>
        <w:rPr>
          <w:rFonts w:ascii="楷体" w:hAnsi="楷体" w:eastAsia="楷体"/>
          <w:b/>
          <w:sz w:val="28"/>
          <w:szCs w:val="28"/>
        </w:rPr>
      </w:pPr>
      <w:r>
        <w:rPr>
          <w:rFonts w:hint="eastAsia" w:ascii="楷体" w:hAnsi="楷体" w:eastAsia="楷体"/>
          <w:b/>
          <w:sz w:val="28"/>
          <w:szCs w:val="28"/>
        </w:rPr>
        <w:t>投资者提示</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hint="eastAsia" w:ascii="楷体" w:hAnsi="楷体" w:eastAsia="楷体" w:cs="Times New Roman"/>
          <w:sz w:val="24"/>
          <w:szCs w:val="24"/>
        </w:rPr>
      </w:pPr>
      <w:r>
        <w:rPr>
          <w:rFonts w:hint="eastAsia" w:ascii="楷体" w:hAnsi="楷体" w:eastAsia="楷体" w:cs="Times New Roman"/>
          <w:sz w:val="24"/>
          <w:szCs w:val="24"/>
        </w:rPr>
        <w:t>本理财产品的风险揭示书、理财产品说明书、投资者权益须知、理财产品投资协议书及理财产品（代理）销售协议书为本理财产品合同不可分割的组成部分。您签署本理财产品合同并将资金委托给苏银理财运作是您真实的意思表示。</w:t>
      </w:r>
      <w:r>
        <w:rPr>
          <w:rFonts w:hint="eastAsia" w:ascii="楷体" w:hAnsi="楷体" w:eastAsia="楷体" w:cs="Times New Roman"/>
          <w:b/>
          <w:bCs/>
          <w:sz w:val="24"/>
          <w:szCs w:val="24"/>
        </w:rPr>
        <w:t>您还应了解您所购买理财产品的投资风险、类型特点和投资存在的最不利投资情形：在最不利情况下，投资者甚至可能损失全部本金。</w:t>
      </w:r>
    </w:p>
    <w:p>
      <w:pPr>
        <w:numPr>
          <w:ilvl w:val="0"/>
          <w:numId w:val="0"/>
        </w:numPr>
        <w:tabs>
          <w:tab w:val="left" w:pos="742"/>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示例：如投资者购买本理财产品，本金为1万元，在理财产品资产组合项下资产全部亏损的最不利情况下，理财产品1万元本金将全部损失。</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w:t>
      </w:r>
      <w:r>
        <w:rPr>
          <w:rFonts w:hint="eastAsia" w:ascii="楷体" w:hAnsi="楷体" w:eastAsia="楷体"/>
          <w:sz w:val="24"/>
          <w:szCs w:val="24"/>
          <w:lang w:val="en-US" w:eastAsia="zh-CN"/>
        </w:rPr>
        <w:t>将</w:t>
      </w:r>
      <w:r>
        <w:rPr>
          <w:rFonts w:hint="eastAsia" w:ascii="楷体" w:hAnsi="楷体" w:eastAsia="楷体"/>
          <w:sz w:val="24"/>
          <w:szCs w:val="24"/>
          <w:lang w:eastAsia="zh-CN"/>
        </w:rPr>
        <w:t>根据</w:t>
      </w:r>
      <w:r>
        <w:rPr>
          <w:rFonts w:hint="eastAsia" w:ascii="楷体" w:hAnsi="楷体" w:eastAsia="楷体"/>
          <w:sz w:val="24"/>
          <w:szCs w:val="24"/>
        </w:rPr>
        <w:t>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2"/>
        <w:spacing w:before="0" w:beforeAutospacing="0" w:after="0" w:afterAutospacing="0" w:line="360" w:lineRule="auto"/>
        <w:ind w:left="420"/>
        <w:jc w:val="right"/>
        <w:rPr>
          <w:rFonts w:ascii="楷体" w:hAnsi="楷体" w:eastAsia="楷体"/>
          <w:b/>
          <w:color w:val="000000"/>
        </w:rPr>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pPr>
      <w:r>
        <w:rPr>
          <w:rFonts w:hint="eastAsia" w:ascii="楷体" w:hAnsi="楷体" w:eastAsia="楷体"/>
          <w:b/>
          <w:color w:val="000000"/>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w:t>
      </w:r>
      <w:r>
        <w:rPr>
          <w:rFonts w:hint="eastAsia" w:ascii="楷体" w:hAnsi="楷体" w:eastAsia="楷体"/>
          <w:sz w:val="24"/>
          <w:szCs w:val="24"/>
          <w:highlight w:val="none"/>
        </w:rPr>
        <w:t>财产品的风险评级，适合购买本理财产品。如风险承受能力评估已超过一年，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lang w:val="en-US" w:eastAsia="zh-CN"/>
        </w:rPr>
      </w:pPr>
      <w:r>
        <w:rPr>
          <w:rFonts w:hint="eastAsia" w:ascii="楷体" w:hAnsi="楷体" w:eastAsia="楷体"/>
          <w:sz w:val="24"/>
          <w:szCs w:val="24"/>
        </w:rPr>
        <w:t>机构投资者（盖章）：</w:t>
      </w:r>
    </w:p>
    <w:p>
      <w:pPr>
        <w:rPr>
          <w:rFonts w:hint="eastAsia" w:ascii="楷体" w:hAnsi="楷体" w:eastAsia="楷体"/>
          <w:sz w:val="24"/>
          <w:szCs w:val="24"/>
          <w:lang w:val="en-US" w:eastAsia="zh-CN"/>
        </w:rPr>
      </w:pPr>
    </w:p>
    <w:p>
      <w:pPr>
        <w:rPr>
          <w:rFonts w:hint="eastAsia" w:ascii="楷体" w:hAnsi="楷体" w:eastAsia="楷体"/>
          <w:sz w:val="24"/>
          <w:szCs w:val="24"/>
          <w:lang w:val="en-US" w:eastAsia="zh-CN"/>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Pr>
        <w:rPr>
          <w:rFonts w:hint="eastAsia"/>
        </w:rPr>
      </w:pPr>
    </w:p>
    <w:sectPr>
      <w:headerReference r:id="rId10" w:type="first"/>
      <w:headerReference r:id="rId8" w:type="default"/>
      <w:footerReference r:id="rId11" w:type="default"/>
      <w:headerReference r:id="rId9"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0"/>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0"/>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7" name="WordPictureWatermark36714475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367144751"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643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9"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67144750"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5"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67144749"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5408"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0A72D"/>
    <w:multiLevelType w:val="singleLevel"/>
    <w:tmpl w:val="1AD0A72D"/>
    <w:lvl w:ilvl="0" w:tentative="0">
      <w:start w:val="1"/>
      <w:numFmt w:val="decimal"/>
      <w:suff w:val="space"/>
      <w:lvlText w:val="%1."/>
      <w:lvlJc w:val="left"/>
    </w:lvl>
  </w:abstractNum>
  <w:abstractNum w:abstractNumId="1">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7">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6E67"/>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1941084"/>
    <w:rsid w:val="01AA3388"/>
    <w:rsid w:val="021F0315"/>
    <w:rsid w:val="02437D0C"/>
    <w:rsid w:val="02A65A04"/>
    <w:rsid w:val="037662C0"/>
    <w:rsid w:val="04953C0E"/>
    <w:rsid w:val="04DC5621"/>
    <w:rsid w:val="05AA1E2F"/>
    <w:rsid w:val="05C24554"/>
    <w:rsid w:val="061606D5"/>
    <w:rsid w:val="061A2F20"/>
    <w:rsid w:val="06D46993"/>
    <w:rsid w:val="07731EDA"/>
    <w:rsid w:val="083A0B73"/>
    <w:rsid w:val="08CF5889"/>
    <w:rsid w:val="09B853C9"/>
    <w:rsid w:val="0B721E65"/>
    <w:rsid w:val="0B9D714B"/>
    <w:rsid w:val="0BCF2C69"/>
    <w:rsid w:val="0C944AE0"/>
    <w:rsid w:val="0D607017"/>
    <w:rsid w:val="0DAB3C0B"/>
    <w:rsid w:val="0DAF4280"/>
    <w:rsid w:val="0EE14842"/>
    <w:rsid w:val="0F3154A0"/>
    <w:rsid w:val="0F431724"/>
    <w:rsid w:val="0FCD07E3"/>
    <w:rsid w:val="10E55ACF"/>
    <w:rsid w:val="114A0C0C"/>
    <w:rsid w:val="116612F4"/>
    <w:rsid w:val="136369E3"/>
    <w:rsid w:val="158E7E44"/>
    <w:rsid w:val="15B824AE"/>
    <w:rsid w:val="15CF287D"/>
    <w:rsid w:val="16B1769F"/>
    <w:rsid w:val="16C12DFE"/>
    <w:rsid w:val="17DD217F"/>
    <w:rsid w:val="1B1644A1"/>
    <w:rsid w:val="1CF74524"/>
    <w:rsid w:val="1D066662"/>
    <w:rsid w:val="1DDC7E69"/>
    <w:rsid w:val="1E6F3314"/>
    <w:rsid w:val="1FF07889"/>
    <w:rsid w:val="20715E11"/>
    <w:rsid w:val="208C27F0"/>
    <w:rsid w:val="20B92DC1"/>
    <w:rsid w:val="21965E5F"/>
    <w:rsid w:val="225459BF"/>
    <w:rsid w:val="22A361B3"/>
    <w:rsid w:val="23305C26"/>
    <w:rsid w:val="235B6EB4"/>
    <w:rsid w:val="23DE761C"/>
    <w:rsid w:val="24914600"/>
    <w:rsid w:val="251505E0"/>
    <w:rsid w:val="2527511E"/>
    <w:rsid w:val="25290E59"/>
    <w:rsid w:val="25FB49C4"/>
    <w:rsid w:val="271D37C5"/>
    <w:rsid w:val="27C17BB1"/>
    <w:rsid w:val="28A904E4"/>
    <w:rsid w:val="294D3CE5"/>
    <w:rsid w:val="2A6956F3"/>
    <w:rsid w:val="2C282037"/>
    <w:rsid w:val="2CBB533D"/>
    <w:rsid w:val="2D2C1113"/>
    <w:rsid w:val="2F2F0392"/>
    <w:rsid w:val="320C6DBE"/>
    <w:rsid w:val="3302137C"/>
    <w:rsid w:val="336B039B"/>
    <w:rsid w:val="33CA2E88"/>
    <w:rsid w:val="340D75AE"/>
    <w:rsid w:val="349F33E5"/>
    <w:rsid w:val="34EE59FB"/>
    <w:rsid w:val="353B7940"/>
    <w:rsid w:val="370E636B"/>
    <w:rsid w:val="38563E9E"/>
    <w:rsid w:val="39236D04"/>
    <w:rsid w:val="39AA7375"/>
    <w:rsid w:val="3A363AA7"/>
    <w:rsid w:val="3A9116C3"/>
    <w:rsid w:val="3AD90077"/>
    <w:rsid w:val="3BE57419"/>
    <w:rsid w:val="3C9476F9"/>
    <w:rsid w:val="3D3654E2"/>
    <w:rsid w:val="3DDD5D91"/>
    <w:rsid w:val="3F8D7CAC"/>
    <w:rsid w:val="3FDB054C"/>
    <w:rsid w:val="40CE75B7"/>
    <w:rsid w:val="41401B50"/>
    <w:rsid w:val="42AF1545"/>
    <w:rsid w:val="4389418F"/>
    <w:rsid w:val="44337F1A"/>
    <w:rsid w:val="44383A9C"/>
    <w:rsid w:val="44576E56"/>
    <w:rsid w:val="46786D2B"/>
    <w:rsid w:val="475B335F"/>
    <w:rsid w:val="47DF749A"/>
    <w:rsid w:val="48DA7951"/>
    <w:rsid w:val="492C007A"/>
    <w:rsid w:val="49637829"/>
    <w:rsid w:val="4B281141"/>
    <w:rsid w:val="4B7240F6"/>
    <w:rsid w:val="4C0E5BAD"/>
    <w:rsid w:val="4C6843B9"/>
    <w:rsid w:val="4CAC15F2"/>
    <w:rsid w:val="4D956F2D"/>
    <w:rsid w:val="4DB908E0"/>
    <w:rsid w:val="4E245191"/>
    <w:rsid w:val="4E914F36"/>
    <w:rsid w:val="4F1E101B"/>
    <w:rsid w:val="502E27B1"/>
    <w:rsid w:val="518566CD"/>
    <w:rsid w:val="52042A30"/>
    <w:rsid w:val="53033536"/>
    <w:rsid w:val="541933E7"/>
    <w:rsid w:val="54235856"/>
    <w:rsid w:val="54A86EFB"/>
    <w:rsid w:val="54F061B5"/>
    <w:rsid w:val="55D6017A"/>
    <w:rsid w:val="56273479"/>
    <w:rsid w:val="567468CD"/>
    <w:rsid w:val="56D420FA"/>
    <w:rsid w:val="57F24C5E"/>
    <w:rsid w:val="594451AA"/>
    <w:rsid w:val="5AB62645"/>
    <w:rsid w:val="5E62490A"/>
    <w:rsid w:val="5F813FB4"/>
    <w:rsid w:val="5FA74CDE"/>
    <w:rsid w:val="604E3B3C"/>
    <w:rsid w:val="608A7AD1"/>
    <w:rsid w:val="60C522F4"/>
    <w:rsid w:val="62496DFD"/>
    <w:rsid w:val="628778FD"/>
    <w:rsid w:val="6298317C"/>
    <w:rsid w:val="63FB4DA5"/>
    <w:rsid w:val="642F297C"/>
    <w:rsid w:val="65BA7764"/>
    <w:rsid w:val="66E6079A"/>
    <w:rsid w:val="670B2782"/>
    <w:rsid w:val="672D5701"/>
    <w:rsid w:val="67D8115D"/>
    <w:rsid w:val="683E50DD"/>
    <w:rsid w:val="69203ACC"/>
    <w:rsid w:val="69775866"/>
    <w:rsid w:val="69C04ABB"/>
    <w:rsid w:val="6A2F5934"/>
    <w:rsid w:val="6A9B336B"/>
    <w:rsid w:val="6ACE4D37"/>
    <w:rsid w:val="6C534188"/>
    <w:rsid w:val="6EC82FBB"/>
    <w:rsid w:val="6F6962A7"/>
    <w:rsid w:val="70F2045B"/>
    <w:rsid w:val="716E0274"/>
    <w:rsid w:val="7396760B"/>
    <w:rsid w:val="73E05013"/>
    <w:rsid w:val="73EF024F"/>
    <w:rsid w:val="74966354"/>
    <w:rsid w:val="752F30C8"/>
    <w:rsid w:val="75635C3C"/>
    <w:rsid w:val="761339E3"/>
    <w:rsid w:val="76D16F69"/>
    <w:rsid w:val="77667C2A"/>
    <w:rsid w:val="79647B21"/>
    <w:rsid w:val="7B54390E"/>
    <w:rsid w:val="7D420B4A"/>
    <w:rsid w:val="7E445010"/>
    <w:rsid w:val="7E5E3BE4"/>
    <w:rsid w:val="7F9C2B8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tblPr>
      <w:tblStyle w:val="14"/>
      <w:tblCellMar>
        <w:top w:w="0" w:type="dxa"/>
        <w:left w:w="108" w:type="dxa"/>
        <w:bottom w:w="0" w:type="dxa"/>
        <w:right w:w="108" w:type="dxa"/>
      </w:tblCellMar>
    </w:tblPr>
  </w:style>
  <w:style w:type="paragraph" w:styleId="2">
    <w:name w:val="Body Text"/>
    <w:basedOn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uiPriority w:val="99"/>
    <w:pPr>
      <w:jc w:val="left"/>
    </w:pPr>
  </w:style>
  <w:style w:type="paragraph" w:styleId="7">
    <w:name w:val="Date"/>
    <w:basedOn w:val="1"/>
    <w:next w:val="1"/>
    <w:link w:val="26"/>
    <w:unhideWhenUsed/>
    <w:uiPriority w:val="99"/>
    <w:pPr>
      <w:ind w:left="100" w:leftChars="2500"/>
    </w:pPr>
  </w:style>
  <w:style w:type="paragraph" w:styleId="8">
    <w:name w:val="Balloon Text"/>
    <w:basedOn w:val="1"/>
    <w:link w:val="27"/>
    <w:unhideWhenUsed/>
    <w:uiPriority w:val="99"/>
    <w:rPr>
      <w:kern w:val="0"/>
      <w:sz w:val="18"/>
      <w:szCs w:val="18"/>
    </w:rPr>
  </w:style>
  <w:style w:type="paragraph" w:styleId="9">
    <w:name w:val="footer"/>
    <w:basedOn w:val="1"/>
    <w:link w:val="28"/>
    <w:unhideWhenUsed/>
    <w:uiPriority w:val="99"/>
    <w:pPr>
      <w:tabs>
        <w:tab w:val="center" w:pos="4153"/>
        <w:tab w:val="right" w:pos="8306"/>
      </w:tabs>
      <w:snapToGrid w:val="0"/>
      <w:jc w:val="left"/>
    </w:pPr>
    <w:rPr>
      <w:kern w:val="0"/>
      <w:sz w:val="18"/>
      <w:szCs w:val="18"/>
    </w:rPr>
  </w:style>
  <w:style w:type="paragraph" w:styleId="10">
    <w:name w:val="header"/>
    <w:basedOn w:val="1"/>
    <w:link w:val="29"/>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uiPriority w:val="99"/>
    <w:rPr>
      <w:b/>
      <w:bCs/>
    </w:rPr>
  </w:style>
  <w:style w:type="table" w:styleId="15">
    <w:name w:val="Table Grid"/>
    <w:basedOn w:val="14"/>
    <w:uiPriority w:val="59"/>
    <w:tblPr>
      <w:tblStyle w:val="1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uiPriority w:val="99"/>
    <w:rPr>
      <w:vertAlign w:val="superscript"/>
    </w:rPr>
  </w:style>
  <w:style w:type="character" w:customStyle="1" w:styleId="21">
    <w:name w:val="正文文本 字符"/>
    <w:link w:val="2"/>
    <w:uiPriority w:val="1"/>
    <w:rPr>
      <w:rFonts w:ascii="宋体" w:hAnsi="Times New Roman" w:eastAsia="宋体" w:cs="宋体"/>
      <w:kern w:val="0"/>
      <w:szCs w:val="21"/>
    </w:rPr>
  </w:style>
  <w:style w:type="character" w:customStyle="1" w:styleId="22">
    <w:name w:val="标题 1 字符"/>
    <w:link w:val="3"/>
    <w:uiPriority w:val="1"/>
    <w:rPr>
      <w:rFonts w:ascii="黑体" w:hAnsi="Times New Roman" w:eastAsia="黑体" w:cs="黑体"/>
      <w:b/>
      <w:bCs/>
      <w:kern w:val="0"/>
      <w:sz w:val="36"/>
      <w:szCs w:val="36"/>
    </w:rPr>
  </w:style>
  <w:style w:type="character" w:customStyle="1" w:styleId="23">
    <w:name w:val="标题 2 字符"/>
    <w:link w:val="4"/>
    <w:uiPriority w:val="9"/>
    <w:rPr>
      <w:rFonts w:ascii="Cambria" w:hAnsi="Cambria" w:eastAsia="宋体" w:cs="Times New Roman"/>
      <w:b/>
      <w:bCs/>
      <w:sz w:val="32"/>
      <w:szCs w:val="32"/>
    </w:rPr>
  </w:style>
  <w:style w:type="character" w:customStyle="1" w:styleId="24">
    <w:name w:val="标题 3 字符"/>
    <w:link w:val="5"/>
    <w:uiPriority w:val="1"/>
    <w:rPr>
      <w:rFonts w:ascii="宋体" w:hAnsi="Times New Roman" w:eastAsia="宋体" w:cs="宋体"/>
      <w:b/>
      <w:bCs/>
      <w:kern w:val="0"/>
      <w:szCs w:val="21"/>
    </w:rPr>
  </w:style>
  <w:style w:type="character" w:customStyle="1" w:styleId="25">
    <w:name w:val="批注文字 字符"/>
    <w:link w:val="6"/>
    <w:uiPriority w:val="99"/>
    <w:rPr>
      <w:kern w:val="2"/>
      <w:sz w:val="21"/>
      <w:szCs w:val="22"/>
    </w:rPr>
  </w:style>
  <w:style w:type="character" w:customStyle="1" w:styleId="26">
    <w:name w:val="日期 字符"/>
    <w:basedOn w:val="16"/>
    <w:link w:val="7"/>
    <w:semiHidden/>
    <w:uiPriority w:val="99"/>
  </w:style>
  <w:style w:type="character" w:customStyle="1" w:styleId="27">
    <w:name w:val="批注框文本 字符"/>
    <w:link w:val="8"/>
    <w:semiHidden/>
    <w:uiPriority w:val="99"/>
    <w:rPr>
      <w:sz w:val="18"/>
      <w:szCs w:val="18"/>
    </w:rPr>
  </w:style>
  <w:style w:type="character" w:customStyle="1" w:styleId="28">
    <w:name w:val="页脚 字符"/>
    <w:link w:val="9"/>
    <w:uiPriority w:val="99"/>
    <w:rPr>
      <w:sz w:val="18"/>
      <w:szCs w:val="18"/>
    </w:rPr>
  </w:style>
  <w:style w:type="character" w:customStyle="1" w:styleId="29">
    <w:name w:val="页眉 字符"/>
    <w:link w:val="10"/>
    <w:uiPriority w:val="99"/>
    <w:rPr>
      <w:sz w:val="18"/>
      <w:szCs w:val="18"/>
    </w:rPr>
  </w:style>
  <w:style w:type="character" w:customStyle="1" w:styleId="30">
    <w:name w:val="脚注文本 字符1"/>
    <w:link w:val="11"/>
    <w:uiPriority w:val="99"/>
    <w:rPr>
      <w:kern w:val="2"/>
      <w:sz w:val="18"/>
      <w:szCs w:val="18"/>
    </w:rPr>
  </w:style>
  <w:style w:type="character" w:customStyle="1" w:styleId="31">
    <w:name w:val="批注主题 字符"/>
    <w:link w:val="13"/>
    <w:semiHidden/>
    <w:uiPriority w:val="99"/>
    <w:rPr>
      <w:b/>
      <w:bCs/>
      <w:kern w:val="2"/>
      <w:sz w:val="21"/>
      <w:szCs w:val="22"/>
    </w:rPr>
  </w:style>
  <w:style w:type="character" w:customStyle="1" w:styleId="32">
    <w:name w:val="脚注文本 字符"/>
    <w:semiHidden/>
    <w:uiPriority w:val="99"/>
    <w:rPr>
      <w:kern w:val="2"/>
      <w:sz w:val="18"/>
      <w:szCs w:val="18"/>
    </w:rPr>
  </w:style>
  <w:style w:type="paragraph" w:styleId="33">
    <w:name w:val=""/>
    <w:semiHidden/>
    <w:uiPriority w:val="99"/>
    <w:rPr>
      <w:kern w:val="2"/>
      <w:sz w:val="21"/>
      <w:szCs w:val="22"/>
      <w:lang w:val="en-US" w:eastAsia="zh-CN" w:bidi="ar-SA"/>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5">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6">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6067</Words>
  <Characters>6073</Characters>
  <Lines>41</Lines>
  <Paragraphs>11</Paragraphs>
  <TotalTime>0</TotalTime>
  <ScaleCrop>false</ScaleCrop>
  <LinksUpToDate>false</LinksUpToDate>
  <CharactersWithSpaces>6198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adm</cp:lastModifiedBy>
  <cp:lastPrinted>2021-03-22T08:30:00Z</cp:lastPrinted>
  <dcterms:modified xsi:type="dcterms:W3CDTF">2025-05-23T13:00:11Z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3CB9FC7D83DA4D94AF918508990566A1</vt:lpwstr>
  </property>
</Properties>
</file>